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86" w:rsidRDefault="002E7C86" w:rsidP="002E7C86">
      <w:pPr>
        <w:rPr>
          <w:rStyle w:val="nfase"/>
          <w:rFonts w:asciiTheme="minorHAnsi" w:hAnsiTheme="minorHAnsi" w:cstheme="minorHAnsi"/>
          <w:i w:val="0"/>
          <w:sz w:val="22"/>
          <w:shd w:val="clear" w:color="auto" w:fill="FFFFFF"/>
        </w:rPr>
      </w:pPr>
    </w:p>
    <w:p w:rsidR="002E7C86" w:rsidRDefault="002E7C86" w:rsidP="002E7C86">
      <w:pPr>
        <w:rPr>
          <w:rFonts w:ascii="Calibri" w:hAnsi="Calibri" w:cs="Calibri"/>
        </w:rPr>
      </w:pPr>
      <w:r w:rsidRPr="00294D7D">
        <w:rPr>
          <w:rFonts w:ascii="Calibri" w:hAnsi="Calibri" w:cs="Calibri"/>
        </w:rPr>
        <w:t xml:space="preserve">OFÍCIO Nº </w:t>
      </w:r>
      <w:r>
        <w:rPr>
          <w:rFonts w:ascii="Calibri" w:hAnsi="Calibri" w:cs="Calibri"/>
        </w:rPr>
        <w:t>62</w:t>
      </w:r>
      <w:r w:rsidRPr="00294D7D">
        <w:rPr>
          <w:rFonts w:ascii="Calibri" w:hAnsi="Calibri" w:cs="Calibri"/>
        </w:rPr>
        <w:t>/2021/SINOVA</w:t>
      </w:r>
    </w:p>
    <w:p w:rsidR="002E7C86" w:rsidRDefault="002E7C86" w:rsidP="002E7C86">
      <w:pPr>
        <w:tabs>
          <w:tab w:val="left" w:pos="5325"/>
          <w:tab w:val="right" w:pos="9355"/>
        </w:tabs>
        <w:jc w:val="right"/>
        <w:rPr>
          <w:rFonts w:ascii="Calibri" w:hAnsi="Calibri" w:cs="Calibri"/>
        </w:rPr>
      </w:pPr>
      <w:r>
        <w:rPr>
          <w:rFonts w:ascii="Calibri" w:hAnsi="Calibri" w:cs="Calibri"/>
        </w:rPr>
        <w:tab/>
        <w:t>Florianópolis, 29 de dezembro de 2021.</w:t>
      </w:r>
    </w:p>
    <w:p w:rsidR="002E7C86" w:rsidRDefault="002E7C86" w:rsidP="002E7C86">
      <w:pPr>
        <w:rPr>
          <w:rFonts w:ascii="Calibri" w:hAnsi="Calibri" w:cs="Calibri"/>
          <w:highlight w:val="green"/>
        </w:rPr>
      </w:pPr>
    </w:p>
    <w:p w:rsidR="002E7C86" w:rsidRDefault="002E7C86" w:rsidP="002E7C86">
      <w:pPr>
        <w:rPr>
          <w:rFonts w:ascii="Calibri" w:hAnsi="Calibri" w:cs="Calibri"/>
          <w:szCs w:val="24"/>
        </w:rPr>
      </w:pPr>
    </w:p>
    <w:p w:rsidR="002E7C86" w:rsidRDefault="002E7C86" w:rsidP="002E7C86">
      <w:pPr>
        <w:rPr>
          <w:rFonts w:ascii="Calibri" w:hAnsi="Calibri" w:cs="Calibri"/>
          <w:szCs w:val="24"/>
        </w:rPr>
      </w:pPr>
      <w:r>
        <w:rPr>
          <w:rFonts w:ascii="Calibri" w:hAnsi="Calibri" w:cs="Calibri"/>
          <w:szCs w:val="24"/>
        </w:rPr>
        <w:t>Ao Diretor do Departamento de Gestão da Informação</w:t>
      </w:r>
    </w:p>
    <w:p w:rsidR="002E7C86" w:rsidRDefault="002E7C86" w:rsidP="002E7C86">
      <w:pPr>
        <w:rPr>
          <w:rFonts w:ascii="Calibri" w:hAnsi="Calibri" w:cs="Calibri"/>
          <w:szCs w:val="24"/>
        </w:rPr>
      </w:pPr>
      <w:r>
        <w:rPr>
          <w:rFonts w:ascii="Calibri" w:hAnsi="Calibri" w:cs="Calibri"/>
          <w:szCs w:val="24"/>
        </w:rPr>
        <w:t>Departamento de Planejamento e Gestão da Informação</w:t>
      </w:r>
    </w:p>
    <w:p w:rsidR="002E7C86" w:rsidRDefault="002E7C86" w:rsidP="002E7C86">
      <w:pPr>
        <w:tabs>
          <w:tab w:val="center" w:pos="4677"/>
        </w:tabs>
        <w:rPr>
          <w:rFonts w:ascii="Calibri" w:hAnsi="Calibri" w:cs="Calibri"/>
        </w:rPr>
      </w:pPr>
      <w:r>
        <w:rPr>
          <w:rFonts w:ascii="Calibri" w:hAnsi="Calibri" w:cs="Calibri"/>
          <w:szCs w:val="24"/>
        </w:rPr>
        <w:t>Universidade Federal de Santa Catarina – UFSC</w:t>
      </w:r>
      <w:r>
        <w:rPr>
          <w:rFonts w:ascii="Calibri" w:hAnsi="Calibri" w:cs="Calibri"/>
          <w:szCs w:val="24"/>
        </w:rPr>
        <w:tab/>
      </w:r>
    </w:p>
    <w:p w:rsidR="002E7C86" w:rsidRDefault="002E7C86" w:rsidP="002E7C86">
      <w:pPr>
        <w:tabs>
          <w:tab w:val="left" w:pos="7125"/>
        </w:tabs>
        <w:rPr>
          <w:rFonts w:ascii="Calibri" w:hAnsi="Calibri" w:cs="Calibri"/>
        </w:rPr>
      </w:pPr>
    </w:p>
    <w:p w:rsidR="002E7C86" w:rsidRDefault="002E7C86" w:rsidP="002E7C86">
      <w:pPr>
        <w:tabs>
          <w:tab w:val="left" w:pos="7125"/>
        </w:tabs>
        <w:rPr>
          <w:rFonts w:ascii="Calibri" w:hAnsi="Calibri" w:cs="Calibri"/>
        </w:rPr>
      </w:pPr>
    </w:p>
    <w:p w:rsidR="002E7C86" w:rsidRDefault="002E7C86" w:rsidP="002E7C86">
      <w:pPr>
        <w:rPr>
          <w:rFonts w:ascii="Calibri" w:hAnsi="Calibri" w:cs="Calibri"/>
          <w:b/>
          <w:szCs w:val="24"/>
        </w:rPr>
      </w:pPr>
      <w:r>
        <w:rPr>
          <w:rFonts w:ascii="Calibri" w:hAnsi="Calibri" w:cs="Calibri"/>
          <w:b/>
        </w:rPr>
        <w:t>Assunto:</w:t>
      </w:r>
      <w:r>
        <w:rPr>
          <w:rFonts w:ascii="Calibri" w:hAnsi="Calibri" w:cs="Calibri"/>
        </w:rPr>
        <w:t xml:space="preserve"> </w:t>
      </w:r>
      <w:r>
        <w:rPr>
          <w:rFonts w:ascii="Calibri" w:hAnsi="Calibri" w:cs="Calibri"/>
          <w:b/>
        </w:rPr>
        <w:t>Informações para o Relatório de Gestão da UFSC de 2021</w:t>
      </w:r>
      <w:r>
        <w:rPr>
          <w:rFonts w:ascii="Calibri" w:hAnsi="Calibri" w:cs="Calibri"/>
          <w:b/>
          <w:szCs w:val="24"/>
        </w:rPr>
        <w:t xml:space="preserve">. </w:t>
      </w:r>
    </w:p>
    <w:p w:rsidR="002E7C86" w:rsidRDefault="002E7C86" w:rsidP="002E7C86">
      <w:pPr>
        <w:rPr>
          <w:rFonts w:ascii="Calibri" w:hAnsi="Calibri" w:cs="Calibri"/>
          <w:b/>
          <w:szCs w:val="24"/>
        </w:rPr>
      </w:pPr>
    </w:p>
    <w:p w:rsidR="002E7C86" w:rsidRDefault="002E7C86" w:rsidP="002E7C86">
      <w:pPr>
        <w:rPr>
          <w:rFonts w:ascii="Calibri" w:hAnsi="Calibri" w:cs="Calibri"/>
          <w:highlight w:val="green"/>
        </w:rPr>
      </w:pPr>
    </w:p>
    <w:p w:rsidR="002E7C86" w:rsidRDefault="002E7C86" w:rsidP="002E7C86">
      <w:pPr>
        <w:tabs>
          <w:tab w:val="left" w:pos="1418"/>
        </w:tabs>
        <w:rPr>
          <w:rFonts w:ascii="Calibri" w:hAnsi="Calibri" w:cs="Calibri"/>
        </w:rPr>
      </w:pPr>
      <w:r>
        <w:rPr>
          <w:rFonts w:ascii="Calibri" w:hAnsi="Calibri" w:cs="Calibri"/>
        </w:rPr>
        <w:tab/>
        <w:t>Senhor Diretor,</w:t>
      </w:r>
    </w:p>
    <w:p w:rsidR="002E7C86" w:rsidRDefault="002E7C86" w:rsidP="002E7C86">
      <w:pPr>
        <w:tabs>
          <w:tab w:val="left" w:pos="1418"/>
        </w:tabs>
        <w:rPr>
          <w:rFonts w:ascii="Calibri" w:hAnsi="Calibri" w:cs="Calibri"/>
        </w:rPr>
      </w:pPr>
    </w:p>
    <w:p w:rsidR="002E7C86" w:rsidRDefault="002E7C86" w:rsidP="002E7C86">
      <w:pPr>
        <w:tabs>
          <w:tab w:val="left" w:pos="1418"/>
        </w:tabs>
        <w:jc w:val="both"/>
        <w:rPr>
          <w:rFonts w:ascii="Calibri" w:hAnsi="Calibri" w:cs="Calibri"/>
        </w:rPr>
      </w:pPr>
    </w:p>
    <w:p w:rsidR="002E7C86" w:rsidRDefault="002E7C86" w:rsidP="002E7C86">
      <w:pPr>
        <w:tabs>
          <w:tab w:val="left" w:pos="1418"/>
        </w:tabs>
        <w:spacing w:after="120"/>
        <w:jc w:val="both"/>
        <w:rPr>
          <w:rFonts w:ascii="Calibri" w:hAnsi="Calibri" w:cs="Calibri"/>
        </w:rPr>
      </w:pPr>
      <w:r>
        <w:rPr>
          <w:rFonts w:ascii="Calibri" w:hAnsi="Calibri" w:cs="Calibri"/>
        </w:rPr>
        <w:tab/>
        <w:t xml:space="preserve">Em atendimento ao O </w:t>
      </w:r>
      <w:r w:rsidRPr="00F60340">
        <w:rPr>
          <w:rFonts w:asciiTheme="minorHAnsi" w:hAnsiTheme="minorHAnsi" w:cstheme="minorHAnsi"/>
          <w:color w:val="000000"/>
          <w:szCs w:val="24"/>
        </w:rPr>
        <w:t>OF E 16/DPGI/SEPLAN/2021</w:t>
      </w:r>
      <w:r w:rsidRPr="00F60340">
        <w:rPr>
          <w:rFonts w:asciiTheme="minorHAnsi" w:hAnsiTheme="minorHAnsi" w:cstheme="minorHAnsi"/>
          <w:szCs w:val="24"/>
        </w:rPr>
        <w:t>,</w:t>
      </w:r>
      <w:r>
        <w:rPr>
          <w:rFonts w:ascii="Calibri" w:hAnsi="Calibri" w:cs="Calibri"/>
        </w:rPr>
        <w:t xml:space="preserve"> encaminhamos, em anexo, as informações da Secretaria de Inovação (SINOVA) para o Relatório de Gestão de 2021.</w:t>
      </w:r>
    </w:p>
    <w:p w:rsidR="002E7C86" w:rsidRDefault="002E7C86" w:rsidP="002E7C86">
      <w:pPr>
        <w:tabs>
          <w:tab w:val="left" w:pos="1418"/>
        </w:tabs>
        <w:spacing w:after="120"/>
        <w:jc w:val="both"/>
        <w:rPr>
          <w:rFonts w:ascii="Calibri" w:hAnsi="Calibri" w:cs="Calibri"/>
        </w:rPr>
      </w:pPr>
    </w:p>
    <w:p w:rsidR="002E7C86" w:rsidRDefault="002E7C86" w:rsidP="002E7C86">
      <w:pPr>
        <w:tabs>
          <w:tab w:val="left" w:pos="1418"/>
        </w:tabs>
        <w:ind w:firstLine="1418"/>
        <w:rPr>
          <w:rFonts w:ascii="Calibri" w:hAnsi="Calibri" w:cs="Calibri"/>
        </w:rPr>
      </w:pPr>
      <w:r>
        <w:rPr>
          <w:rFonts w:ascii="Calibri" w:hAnsi="Calibri" w:cs="Calibri"/>
        </w:rPr>
        <w:t>Atenciosamente,</w:t>
      </w:r>
    </w:p>
    <w:p w:rsidR="002E7C86" w:rsidRDefault="002E7C86" w:rsidP="002E7C86">
      <w:pPr>
        <w:tabs>
          <w:tab w:val="left" w:pos="1418"/>
        </w:tabs>
        <w:rPr>
          <w:rFonts w:ascii="Calibri" w:hAnsi="Calibri" w:cs="Calibri"/>
        </w:rPr>
      </w:pPr>
    </w:p>
    <w:p w:rsidR="002E7C86" w:rsidRDefault="002E7C86" w:rsidP="002E7C86">
      <w:pPr>
        <w:tabs>
          <w:tab w:val="left" w:pos="1418"/>
        </w:tabs>
        <w:rPr>
          <w:rFonts w:ascii="Calibri" w:hAnsi="Calibri" w:cs="Calibri"/>
        </w:rPr>
      </w:pPr>
    </w:p>
    <w:p w:rsidR="002E7C86" w:rsidRDefault="002E7C86" w:rsidP="002E7C86">
      <w:pPr>
        <w:tabs>
          <w:tab w:val="left" w:pos="1418"/>
        </w:tabs>
        <w:rPr>
          <w:rFonts w:ascii="Calibri" w:hAnsi="Calibri" w:cs="Calibri"/>
        </w:rPr>
      </w:pPr>
    </w:p>
    <w:p w:rsidR="002E7C86" w:rsidRDefault="002E7C86" w:rsidP="002E7C86">
      <w:pPr>
        <w:tabs>
          <w:tab w:val="left" w:pos="1418"/>
        </w:tabs>
        <w:rPr>
          <w:rFonts w:ascii="Calibri" w:hAnsi="Calibri" w:cs="Calibri"/>
        </w:rPr>
      </w:pPr>
    </w:p>
    <w:p w:rsidR="002E7C86" w:rsidRDefault="002E7C86" w:rsidP="002E7C86">
      <w:pPr>
        <w:jc w:val="center"/>
        <w:rPr>
          <w:rFonts w:ascii="Calibri" w:hAnsi="Calibri" w:cs="Calibri"/>
        </w:rPr>
      </w:pPr>
      <w:r>
        <w:rPr>
          <w:rFonts w:ascii="Calibri" w:hAnsi="Calibri" w:cs="Calibri"/>
        </w:rPr>
        <w:t>ALEXANDRE MORAES RAMOS</w:t>
      </w:r>
    </w:p>
    <w:p w:rsidR="002E7C86" w:rsidRDefault="002E7C86" w:rsidP="002E7C86">
      <w:pPr>
        <w:jc w:val="center"/>
        <w:rPr>
          <w:rFonts w:ascii="Calibri" w:hAnsi="Calibri" w:cs="Calibri"/>
        </w:rPr>
      </w:pPr>
      <w:r>
        <w:rPr>
          <w:rFonts w:ascii="Calibri" w:hAnsi="Calibri" w:cs="Calibri"/>
        </w:rPr>
        <w:t>Secretário de Inovação</w:t>
      </w:r>
    </w:p>
    <w:p w:rsidR="002E7C86" w:rsidRDefault="002E7C86">
      <w:pPr>
        <w:suppressAutoHyphens w:val="0"/>
        <w:rPr>
          <w:rStyle w:val="nfase"/>
          <w:rFonts w:asciiTheme="minorHAnsi" w:eastAsiaTheme="minorHAnsi" w:hAnsiTheme="minorHAnsi" w:cstheme="minorHAnsi"/>
          <w:i w:val="0"/>
          <w:sz w:val="22"/>
          <w:szCs w:val="22"/>
          <w:shd w:val="clear" w:color="auto" w:fill="FFFFFF"/>
          <w:lang w:eastAsia="en-US"/>
        </w:rPr>
      </w:pPr>
    </w:p>
    <w:p w:rsidR="002E7C86" w:rsidRDefault="002E7C86">
      <w:pPr>
        <w:suppressAutoHyphens w:val="0"/>
        <w:rPr>
          <w:rStyle w:val="nfase"/>
          <w:rFonts w:asciiTheme="minorHAnsi" w:eastAsiaTheme="minorHAnsi" w:hAnsiTheme="minorHAnsi" w:cstheme="minorHAnsi"/>
          <w:i w:val="0"/>
          <w:sz w:val="22"/>
          <w:szCs w:val="22"/>
          <w:shd w:val="clear" w:color="auto" w:fill="FFFFFF"/>
          <w:lang w:eastAsia="en-US"/>
        </w:rPr>
      </w:pPr>
      <w:r>
        <w:rPr>
          <w:rStyle w:val="nfase"/>
          <w:rFonts w:asciiTheme="minorHAnsi" w:hAnsiTheme="minorHAnsi" w:cstheme="minorHAnsi"/>
          <w:i w:val="0"/>
          <w:sz w:val="22"/>
          <w:shd w:val="clear" w:color="auto" w:fill="FFFFFF"/>
        </w:rPr>
        <w:br w:type="page"/>
      </w:r>
    </w:p>
    <w:p w:rsidR="005559B0" w:rsidRPr="00E6265A" w:rsidRDefault="00294D7D" w:rsidP="00133A1C">
      <w:pPr>
        <w:pStyle w:val="SemEspaamento"/>
        <w:jc w:val="center"/>
        <w:rPr>
          <w:rStyle w:val="nfase"/>
          <w:rFonts w:asciiTheme="minorHAnsi" w:hAnsiTheme="minorHAnsi" w:cstheme="minorHAnsi"/>
          <w:i w:val="0"/>
          <w:sz w:val="22"/>
          <w:highlight w:val="white"/>
        </w:rPr>
      </w:pPr>
      <w:proofErr w:type="gramStart"/>
      <w:r w:rsidRPr="00E6265A">
        <w:rPr>
          <w:rStyle w:val="nfase"/>
          <w:rFonts w:asciiTheme="minorHAnsi" w:hAnsiTheme="minorHAnsi" w:cstheme="minorHAnsi"/>
          <w:i w:val="0"/>
          <w:sz w:val="22"/>
          <w:shd w:val="clear" w:color="auto" w:fill="FFFFFF"/>
        </w:rPr>
        <w:lastRenderedPageBreak/>
        <w:t>ANEXO – Informações</w:t>
      </w:r>
      <w:proofErr w:type="gramEnd"/>
      <w:r w:rsidRPr="00E6265A">
        <w:rPr>
          <w:rStyle w:val="nfase"/>
          <w:rFonts w:asciiTheme="minorHAnsi" w:hAnsiTheme="minorHAnsi" w:cstheme="minorHAnsi"/>
          <w:i w:val="0"/>
          <w:sz w:val="22"/>
          <w:shd w:val="clear" w:color="auto" w:fill="FFFFFF"/>
        </w:rPr>
        <w:t xml:space="preserve"> SINOVA</w:t>
      </w:r>
    </w:p>
    <w:p w:rsidR="005559B0" w:rsidRPr="00E6265A" w:rsidRDefault="00294D7D" w:rsidP="00133A1C">
      <w:pPr>
        <w:pStyle w:val="SemEspaamento"/>
        <w:jc w:val="center"/>
        <w:rPr>
          <w:rStyle w:val="nfase"/>
          <w:rFonts w:asciiTheme="minorHAnsi" w:hAnsiTheme="minorHAnsi" w:cstheme="minorHAnsi"/>
          <w:b/>
          <w:i w:val="0"/>
          <w:sz w:val="22"/>
          <w:highlight w:val="white"/>
        </w:rPr>
      </w:pPr>
      <w:r w:rsidRPr="00E6265A">
        <w:rPr>
          <w:rStyle w:val="nfase"/>
          <w:rFonts w:asciiTheme="minorHAnsi" w:hAnsiTheme="minorHAnsi" w:cstheme="minorHAnsi"/>
          <w:b/>
          <w:i w:val="0"/>
          <w:sz w:val="22"/>
          <w:shd w:val="clear" w:color="auto" w:fill="FFFFFF"/>
        </w:rPr>
        <w:t xml:space="preserve">Inovação, Empreendedorismo e Propriedade Intelectual na </w:t>
      </w:r>
      <w:proofErr w:type="gramStart"/>
      <w:r w:rsidRPr="00E6265A">
        <w:rPr>
          <w:rStyle w:val="nfase"/>
          <w:rFonts w:asciiTheme="minorHAnsi" w:hAnsiTheme="minorHAnsi" w:cstheme="minorHAnsi"/>
          <w:b/>
          <w:i w:val="0"/>
          <w:sz w:val="22"/>
          <w:shd w:val="clear" w:color="auto" w:fill="FFFFFF"/>
        </w:rPr>
        <w:t>UFSC</w:t>
      </w:r>
      <w:proofErr w:type="gramEnd"/>
    </w:p>
    <w:p w:rsidR="005559B0" w:rsidRPr="00AC3484" w:rsidRDefault="00294D7D" w:rsidP="00CB3E89">
      <w:pPr>
        <w:spacing w:before="120" w:after="240"/>
        <w:jc w:val="both"/>
        <w:rPr>
          <w:rStyle w:val="nfase"/>
          <w:rFonts w:asciiTheme="minorHAnsi" w:hAnsiTheme="minorHAnsi" w:cstheme="minorHAnsi"/>
          <w:b/>
          <w:i w:val="0"/>
          <w:iCs w:val="0"/>
          <w:sz w:val="22"/>
          <w:szCs w:val="22"/>
        </w:rPr>
      </w:pPr>
      <w:proofErr w:type="gramStart"/>
      <w:r w:rsidRPr="00AC3484">
        <w:rPr>
          <w:rStyle w:val="nfase"/>
          <w:rFonts w:asciiTheme="minorHAnsi" w:hAnsiTheme="minorHAnsi" w:cstheme="minorHAnsi"/>
          <w:b/>
          <w:i w:val="0"/>
          <w:sz w:val="22"/>
          <w:szCs w:val="22"/>
        </w:rPr>
        <w:t>1</w:t>
      </w:r>
      <w:proofErr w:type="gramEnd"/>
      <w:r w:rsidRPr="00AC3484">
        <w:rPr>
          <w:rStyle w:val="nfase"/>
          <w:rFonts w:asciiTheme="minorHAnsi" w:hAnsiTheme="minorHAnsi" w:cstheme="minorHAnsi"/>
          <w:b/>
          <w:i w:val="0"/>
          <w:sz w:val="22"/>
          <w:szCs w:val="22"/>
        </w:rPr>
        <w:t xml:space="preserve"> Missão e Objetivos</w:t>
      </w:r>
    </w:p>
    <w:p w:rsidR="000D4635" w:rsidRPr="00AC3484" w:rsidRDefault="00294D7D" w:rsidP="00133A1C">
      <w:pPr>
        <w:pStyle w:val="SemEspaamento"/>
        <w:jc w:val="both"/>
        <w:rPr>
          <w:rFonts w:asciiTheme="minorHAnsi" w:hAnsiTheme="minorHAnsi" w:cstheme="minorHAnsi"/>
          <w:sz w:val="22"/>
        </w:rPr>
      </w:pPr>
      <w:r w:rsidRPr="00AC3484">
        <w:rPr>
          <w:rFonts w:asciiTheme="minorHAnsi" w:hAnsiTheme="minorHAnsi" w:cstheme="minorHAnsi"/>
          <w:sz w:val="22"/>
        </w:rPr>
        <w:t xml:space="preserve">Na UFSC, cabe à Secretaria de Inovação </w:t>
      </w:r>
      <w:r w:rsidRPr="00AC3484">
        <w:rPr>
          <w:rFonts w:asciiTheme="minorHAnsi" w:eastAsia="Calibri" w:hAnsiTheme="minorHAnsi" w:cstheme="minorHAnsi"/>
          <w:sz w:val="22"/>
        </w:rPr>
        <w:t>(</w:t>
      </w:r>
      <w:r w:rsidR="005C28AA">
        <w:rPr>
          <w:rFonts w:asciiTheme="minorHAnsi" w:hAnsiTheme="minorHAnsi" w:cstheme="minorHAnsi"/>
          <w:sz w:val="22"/>
        </w:rPr>
        <w:t xml:space="preserve">SINOVA) </w:t>
      </w:r>
      <w:r w:rsidRPr="00AC3484">
        <w:rPr>
          <w:rFonts w:asciiTheme="minorHAnsi" w:hAnsiTheme="minorHAnsi" w:cstheme="minorHAnsi"/>
          <w:sz w:val="22"/>
        </w:rPr>
        <w:t>promover a Inovação aberta e a cultura do empreendedorismo; criar sinergia com diferentes segmentos da sociedade e setor produtivo; identificar e criar oportunidades para projetos cooperados; atuar de forma integrada e transversal com as ações de ensino, pesquisa e extensão da UFSC; gerenciar questões relativas à propriedade e a gestão dos direitos sobre a criação e propriedade intelectual.</w:t>
      </w:r>
      <w:r w:rsidR="005C28AA">
        <w:rPr>
          <w:rFonts w:asciiTheme="minorHAnsi" w:hAnsiTheme="minorHAnsi" w:cstheme="minorHAnsi"/>
          <w:sz w:val="22"/>
        </w:rPr>
        <w:t xml:space="preserve"> </w:t>
      </w:r>
    </w:p>
    <w:p w:rsidR="00E6265A" w:rsidRPr="00AC3484" w:rsidRDefault="00294D7D" w:rsidP="00CB3E89">
      <w:pPr>
        <w:pStyle w:val="SemEspaamento"/>
        <w:spacing w:before="120" w:after="240"/>
        <w:jc w:val="both"/>
        <w:rPr>
          <w:rFonts w:asciiTheme="minorHAnsi" w:hAnsiTheme="minorHAnsi" w:cstheme="minorHAnsi"/>
          <w:b/>
          <w:sz w:val="22"/>
        </w:rPr>
      </w:pPr>
      <w:proofErr w:type="gramStart"/>
      <w:r w:rsidRPr="00AC3484">
        <w:rPr>
          <w:rFonts w:asciiTheme="minorHAnsi" w:hAnsiTheme="minorHAnsi" w:cstheme="minorHAnsi"/>
          <w:b/>
          <w:sz w:val="22"/>
        </w:rPr>
        <w:t>2</w:t>
      </w:r>
      <w:proofErr w:type="gramEnd"/>
      <w:r w:rsidRPr="00AC3484">
        <w:rPr>
          <w:rFonts w:asciiTheme="minorHAnsi" w:hAnsiTheme="minorHAnsi" w:cstheme="minorHAnsi"/>
          <w:b/>
          <w:sz w:val="22"/>
        </w:rPr>
        <w:t xml:space="preserve"> </w:t>
      </w:r>
      <w:r w:rsidR="00E6265A" w:rsidRPr="00AC3484">
        <w:rPr>
          <w:rFonts w:asciiTheme="minorHAnsi" w:hAnsiTheme="minorHAnsi" w:cstheme="minorHAnsi"/>
          <w:b/>
          <w:sz w:val="22"/>
        </w:rPr>
        <w:t xml:space="preserve">Projetos Estratégicos - </w:t>
      </w:r>
      <w:r w:rsidRPr="00AC3484">
        <w:rPr>
          <w:rFonts w:asciiTheme="minorHAnsi" w:hAnsiTheme="minorHAnsi" w:cstheme="minorHAnsi"/>
          <w:b/>
          <w:sz w:val="22"/>
        </w:rPr>
        <w:t>Realizações e números</w:t>
      </w:r>
      <w:r w:rsidR="00E6265A" w:rsidRPr="00AC3484">
        <w:rPr>
          <w:rFonts w:asciiTheme="minorHAnsi" w:hAnsiTheme="minorHAnsi" w:cstheme="minorHAnsi"/>
          <w:b/>
          <w:sz w:val="22"/>
        </w:rPr>
        <w:t xml:space="preserve"> 2021</w:t>
      </w:r>
    </w:p>
    <w:p w:rsidR="005559B0" w:rsidRPr="00AC3484" w:rsidRDefault="00294D7D" w:rsidP="00CB3E89">
      <w:pPr>
        <w:pStyle w:val="SemEspaamento"/>
        <w:spacing w:after="120"/>
        <w:jc w:val="both"/>
        <w:rPr>
          <w:rFonts w:asciiTheme="minorHAnsi" w:hAnsiTheme="minorHAnsi" w:cstheme="minorHAnsi"/>
          <w:b/>
          <w:sz w:val="22"/>
        </w:rPr>
      </w:pPr>
      <w:r w:rsidRPr="00AC3484">
        <w:rPr>
          <w:rFonts w:asciiTheme="minorHAnsi" w:hAnsiTheme="minorHAnsi" w:cstheme="minorHAnsi"/>
          <w:b/>
          <w:sz w:val="22"/>
        </w:rPr>
        <w:t xml:space="preserve">I) Projeto </w:t>
      </w:r>
      <w:proofErr w:type="spellStart"/>
      <w:r w:rsidR="000D4635" w:rsidRPr="00AC3484">
        <w:rPr>
          <w:rFonts w:asciiTheme="minorHAnsi" w:hAnsiTheme="minorHAnsi" w:cstheme="minorHAnsi"/>
          <w:b/>
          <w:i/>
          <w:iCs/>
          <w:sz w:val="22"/>
        </w:rPr>
        <w:t>Academy</w:t>
      </w:r>
      <w:proofErr w:type="spellEnd"/>
    </w:p>
    <w:p w:rsidR="000D1745" w:rsidRPr="00342253" w:rsidRDefault="007565C9" w:rsidP="00133A1C">
      <w:pPr>
        <w:suppressAutoHyphens w:val="0"/>
        <w:jc w:val="both"/>
        <w:rPr>
          <w:rFonts w:asciiTheme="minorHAnsi" w:hAnsiTheme="minorHAnsi" w:cstheme="minorHAnsi"/>
          <w:color w:val="000000"/>
          <w:sz w:val="22"/>
          <w:szCs w:val="22"/>
        </w:rPr>
      </w:pPr>
      <w:r w:rsidRPr="00AC3484">
        <w:rPr>
          <w:rFonts w:asciiTheme="minorHAnsi" w:hAnsiTheme="minorHAnsi" w:cstheme="minorHAnsi"/>
          <w:color w:val="000000"/>
          <w:sz w:val="22"/>
          <w:szCs w:val="22"/>
        </w:rPr>
        <w:t xml:space="preserve">Desenvolvido em parceria com o </w:t>
      </w:r>
      <w:proofErr w:type="gramStart"/>
      <w:r w:rsidRPr="00AC3484">
        <w:rPr>
          <w:rFonts w:asciiTheme="minorHAnsi" w:hAnsiTheme="minorHAnsi" w:cstheme="minorHAnsi"/>
          <w:color w:val="000000"/>
          <w:sz w:val="22"/>
          <w:szCs w:val="22"/>
        </w:rPr>
        <w:t>Sebrae</w:t>
      </w:r>
      <w:proofErr w:type="gramEnd"/>
      <w:r w:rsidRPr="00AC3484">
        <w:rPr>
          <w:rFonts w:asciiTheme="minorHAnsi" w:hAnsiTheme="minorHAnsi" w:cstheme="minorHAnsi"/>
          <w:color w:val="000000"/>
          <w:sz w:val="22"/>
          <w:szCs w:val="22"/>
        </w:rPr>
        <w:t>, busca disseminar a cultura da inovação e do empreendedorismo junto a comunidade acadêmica, por meio do desenvolvimento de competências</w:t>
      </w:r>
      <w:r w:rsidR="00E6265A" w:rsidRPr="00AC3484">
        <w:rPr>
          <w:rFonts w:asciiTheme="minorHAnsi" w:hAnsiTheme="minorHAnsi" w:cstheme="minorHAnsi"/>
          <w:color w:val="000000"/>
          <w:sz w:val="22"/>
          <w:szCs w:val="22"/>
        </w:rPr>
        <w:t xml:space="preserve"> individuais e em grupo</w:t>
      </w:r>
      <w:r w:rsidRPr="00AC3484">
        <w:rPr>
          <w:rFonts w:asciiTheme="minorHAnsi" w:hAnsiTheme="minorHAnsi" w:cstheme="minorHAnsi"/>
          <w:color w:val="000000"/>
          <w:sz w:val="22"/>
          <w:szCs w:val="22"/>
        </w:rPr>
        <w:t>.</w:t>
      </w:r>
      <w:r w:rsidR="00342253">
        <w:rPr>
          <w:rFonts w:asciiTheme="minorHAnsi" w:hAnsiTheme="minorHAnsi" w:cstheme="minorHAnsi"/>
          <w:color w:val="000000"/>
          <w:sz w:val="22"/>
          <w:szCs w:val="22"/>
        </w:rPr>
        <w:t xml:space="preserve"> </w:t>
      </w:r>
      <w:r w:rsidR="00E6265A" w:rsidRPr="00AC3484">
        <w:rPr>
          <w:rFonts w:asciiTheme="minorHAnsi" w:hAnsiTheme="minorHAnsi" w:cstheme="minorHAnsi"/>
          <w:color w:val="000000"/>
          <w:sz w:val="22"/>
          <w:szCs w:val="22"/>
        </w:rPr>
        <w:t>Foram realizados</w:t>
      </w:r>
      <w:r w:rsidR="000D1745" w:rsidRPr="00AC3484">
        <w:rPr>
          <w:rFonts w:asciiTheme="minorHAnsi" w:hAnsiTheme="minorHAnsi" w:cstheme="minorHAnsi"/>
          <w:color w:val="000000"/>
          <w:sz w:val="22"/>
          <w:szCs w:val="22"/>
        </w:rPr>
        <w:t xml:space="preserve"> 24 eventos, sendo 13 palestras e 12 </w:t>
      </w:r>
      <w:r w:rsidR="000D1745" w:rsidRPr="00AC3484">
        <w:rPr>
          <w:rFonts w:asciiTheme="minorHAnsi" w:hAnsiTheme="minorHAnsi" w:cstheme="minorHAnsi"/>
          <w:i/>
          <w:iCs/>
          <w:color w:val="000000"/>
          <w:sz w:val="22"/>
          <w:szCs w:val="22"/>
        </w:rPr>
        <w:t>workshops</w:t>
      </w:r>
      <w:r w:rsidR="000D1745" w:rsidRPr="00AC3484">
        <w:rPr>
          <w:rFonts w:asciiTheme="minorHAnsi" w:hAnsiTheme="minorHAnsi" w:cstheme="minorHAnsi"/>
          <w:color w:val="000000"/>
          <w:sz w:val="22"/>
          <w:szCs w:val="22"/>
        </w:rPr>
        <w:t xml:space="preserve">, conjuntamente com o SEBRAE/SC, DRIN Inovação, SEBRAE Delas e Instituto Converse. </w:t>
      </w:r>
    </w:p>
    <w:p w:rsidR="00CA17EF" w:rsidRPr="00CB3E89" w:rsidRDefault="00CB3E89" w:rsidP="00CB3E89">
      <w:pPr>
        <w:pStyle w:val="SemEspaamento"/>
        <w:tabs>
          <w:tab w:val="left" w:pos="2410"/>
        </w:tabs>
        <w:spacing w:before="240" w:after="120"/>
        <w:jc w:val="center"/>
        <w:rPr>
          <w:rFonts w:asciiTheme="minorHAnsi" w:hAnsiTheme="minorHAnsi" w:cstheme="minorHAnsi"/>
          <w:i/>
          <w:iCs/>
          <w:sz w:val="22"/>
          <w:szCs w:val="24"/>
        </w:rPr>
      </w:pPr>
      <w:r>
        <w:rPr>
          <w:rStyle w:val="nfase"/>
          <w:rFonts w:asciiTheme="minorHAnsi" w:hAnsiTheme="minorHAnsi" w:cstheme="minorHAnsi"/>
          <w:i w:val="0"/>
          <w:sz w:val="22"/>
          <w:szCs w:val="24"/>
        </w:rPr>
        <w:t xml:space="preserve">Alcance do Projeto </w:t>
      </w:r>
      <w:proofErr w:type="spellStart"/>
      <w:r>
        <w:rPr>
          <w:rStyle w:val="nfase"/>
          <w:rFonts w:asciiTheme="minorHAnsi" w:hAnsiTheme="minorHAnsi" w:cstheme="minorHAnsi"/>
          <w:i w:val="0"/>
          <w:sz w:val="22"/>
          <w:szCs w:val="24"/>
        </w:rPr>
        <w:t>Academy</w:t>
      </w:r>
      <w:proofErr w:type="spellEnd"/>
    </w:p>
    <w:p w:rsidR="000D4635" w:rsidRPr="00AC3484" w:rsidRDefault="00886824" w:rsidP="007565C9">
      <w:pPr>
        <w:suppressAutoHyphens w:val="0"/>
        <w:spacing w:after="160"/>
        <w:jc w:val="center"/>
        <w:rPr>
          <w:rFonts w:asciiTheme="minorHAnsi" w:hAnsiTheme="minorHAnsi" w:cstheme="minorHAnsi"/>
          <w:sz w:val="22"/>
          <w:szCs w:val="22"/>
        </w:rPr>
      </w:pPr>
      <w:r w:rsidRPr="00AC3484">
        <w:rPr>
          <w:rFonts w:asciiTheme="minorHAnsi" w:hAnsiTheme="minorHAnsi" w:cstheme="minorHAnsi"/>
          <w:noProof/>
          <w:sz w:val="22"/>
          <w:szCs w:val="22"/>
        </w:rPr>
        <w:drawing>
          <wp:inline distT="0" distB="0" distL="0" distR="0" wp14:anchorId="6BEE370B" wp14:editId="2CC27EE2">
            <wp:extent cx="3695890" cy="2248016"/>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5890" cy="2248016"/>
                    </a:xfrm>
                    <a:prstGeom prst="rect">
                      <a:avLst/>
                    </a:prstGeom>
                  </pic:spPr>
                </pic:pic>
              </a:graphicData>
            </a:graphic>
          </wp:inline>
        </w:drawing>
      </w:r>
    </w:p>
    <w:p w:rsidR="00A3353B" w:rsidRDefault="00A3353B" w:rsidP="000D1745">
      <w:pPr>
        <w:rPr>
          <w:rFonts w:asciiTheme="minorHAnsi" w:hAnsiTheme="minorHAnsi" w:cstheme="minorHAnsi"/>
          <w:b/>
          <w:sz w:val="22"/>
          <w:szCs w:val="22"/>
        </w:rPr>
      </w:pPr>
    </w:p>
    <w:p w:rsidR="000D1745" w:rsidRPr="00AC3484" w:rsidRDefault="00294D7D" w:rsidP="00CB3E89">
      <w:pPr>
        <w:spacing w:after="120"/>
        <w:jc w:val="both"/>
        <w:rPr>
          <w:rFonts w:asciiTheme="minorHAnsi" w:hAnsiTheme="minorHAnsi" w:cstheme="minorHAnsi"/>
          <w:sz w:val="22"/>
          <w:szCs w:val="22"/>
        </w:rPr>
      </w:pPr>
      <w:proofErr w:type="gramStart"/>
      <w:r w:rsidRPr="00AC3484">
        <w:rPr>
          <w:rFonts w:asciiTheme="minorHAnsi" w:hAnsiTheme="minorHAnsi" w:cstheme="minorHAnsi"/>
          <w:b/>
          <w:sz w:val="22"/>
          <w:szCs w:val="22"/>
        </w:rPr>
        <w:t>II)</w:t>
      </w:r>
      <w:proofErr w:type="gramEnd"/>
      <w:r w:rsidRPr="00AC3484">
        <w:rPr>
          <w:rFonts w:asciiTheme="minorHAnsi" w:hAnsiTheme="minorHAnsi" w:cstheme="minorHAnsi"/>
          <w:b/>
          <w:sz w:val="22"/>
          <w:szCs w:val="22"/>
        </w:rPr>
        <w:t xml:space="preserve"> </w:t>
      </w:r>
      <w:r w:rsidR="000D1745" w:rsidRPr="00AC3484">
        <w:rPr>
          <w:rFonts w:asciiTheme="minorHAnsi" w:hAnsiTheme="minorHAnsi" w:cstheme="minorHAnsi"/>
          <w:b/>
          <w:sz w:val="22"/>
          <w:szCs w:val="22"/>
        </w:rPr>
        <w:t>Projeto LINC Social</w:t>
      </w:r>
      <w:r w:rsidR="000D1745" w:rsidRPr="00AC3484">
        <w:rPr>
          <w:rFonts w:asciiTheme="minorHAnsi" w:hAnsiTheme="minorHAnsi" w:cstheme="minorHAnsi"/>
          <w:sz w:val="22"/>
          <w:szCs w:val="22"/>
        </w:rPr>
        <w:t xml:space="preserve"> </w:t>
      </w:r>
    </w:p>
    <w:p w:rsidR="000D1745" w:rsidRPr="00AC3484" w:rsidRDefault="00342253" w:rsidP="00133A1C">
      <w:pPr>
        <w:jc w:val="both"/>
        <w:rPr>
          <w:rFonts w:asciiTheme="minorHAnsi" w:hAnsiTheme="minorHAnsi" w:cstheme="minorHAnsi"/>
          <w:sz w:val="22"/>
          <w:szCs w:val="22"/>
        </w:rPr>
      </w:pPr>
      <w:r>
        <w:rPr>
          <w:rFonts w:asciiTheme="minorHAnsi" w:hAnsiTheme="minorHAnsi" w:cstheme="minorHAnsi"/>
          <w:sz w:val="22"/>
          <w:szCs w:val="22"/>
        </w:rPr>
        <w:t>Visa</w:t>
      </w:r>
      <w:r w:rsidR="000D1745" w:rsidRPr="00AC3484">
        <w:rPr>
          <w:rFonts w:asciiTheme="minorHAnsi" w:hAnsiTheme="minorHAnsi" w:cstheme="minorHAnsi"/>
          <w:sz w:val="22"/>
          <w:szCs w:val="22"/>
        </w:rPr>
        <w:t xml:space="preserve"> proporcionar um ambiente de </w:t>
      </w:r>
      <w:proofErr w:type="spellStart"/>
      <w:r w:rsidR="000D1745" w:rsidRPr="00AC3484">
        <w:rPr>
          <w:rFonts w:asciiTheme="minorHAnsi" w:hAnsiTheme="minorHAnsi" w:cstheme="minorHAnsi"/>
          <w:sz w:val="22"/>
          <w:szCs w:val="22"/>
        </w:rPr>
        <w:t>cocriação</w:t>
      </w:r>
      <w:proofErr w:type="spellEnd"/>
      <w:r w:rsidR="000D1745" w:rsidRPr="00AC3484">
        <w:rPr>
          <w:rFonts w:asciiTheme="minorHAnsi" w:hAnsiTheme="minorHAnsi" w:cstheme="minorHAnsi"/>
          <w:sz w:val="22"/>
          <w:szCs w:val="22"/>
        </w:rPr>
        <w:t xml:space="preserve"> para o desenvolvimento de ideias com propósito social</w:t>
      </w:r>
      <w:r w:rsidR="00354CC3">
        <w:rPr>
          <w:rFonts w:asciiTheme="minorHAnsi" w:hAnsiTheme="minorHAnsi" w:cstheme="minorHAnsi"/>
          <w:sz w:val="22"/>
          <w:szCs w:val="22"/>
        </w:rPr>
        <w:t>,</w:t>
      </w:r>
      <w:r w:rsidR="000D1745" w:rsidRPr="00AC3484">
        <w:rPr>
          <w:rFonts w:asciiTheme="minorHAnsi" w:hAnsiTheme="minorHAnsi" w:cstheme="minorHAnsi"/>
          <w:sz w:val="22"/>
          <w:szCs w:val="22"/>
        </w:rPr>
        <w:t xml:space="preserve"> alinhados com os Objetivos de Desenvolvimento Sustentável (ODS) da Organização das Nações Unidas (ONU). </w:t>
      </w:r>
      <w:r w:rsidR="00E6265A" w:rsidRPr="00AC3484">
        <w:rPr>
          <w:rFonts w:asciiTheme="minorHAnsi" w:hAnsiTheme="minorHAnsi" w:cstheme="minorHAnsi"/>
          <w:sz w:val="22"/>
          <w:szCs w:val="22"/>
        </w:rPr>
        <w:t>Foram realizadas</w:t>
      </w:r>
      <w:r w:rsidR="000D1745" w:rsidRPr="00AC3484">
        <w:rPr>
          <w:rFonts w:asciiTheme="minorHAnsi" w:hAnsiTheme="minorHAnsi" w:cstheme="minorHAnsi"/>
          <w:sz w:val="22"/>
          <w:szCs w:val="22"/>
        </w:rPr>
        <w:t xml:space="preserve"> </w:t>
      </w:r>
      <w:proofErr w:type="spellStart"/>
      <w:r w:rsidR="000D1745" w:rsidRPr="00AC3484">
        <w:rPr>
          <w:rFonts w:asciiTheme="minorHAnsi" w:hAnsiTheme="minorHAnsi" w:cstheme="minorHAnsi"/>
          <w:sz w:val="22"/>
          <w:szCs w:val="22"/>
        </w:rPr>
        <w:t>lives</w:t>
      </w:r>
      <w:proofErr w:type="spellEnd"/>
      <w:r w:rsidR="00E6265A" w:rsidRPr="00AC3484">
        <w:rPr>
          <w:rFonts w:asciiTheme="minorHAnsi" w:hAnsiTheme="minorHAnsi" w:cstheme="minorHAnsi"/>
          <w:sz w:val="22"/>
          <w:szCs w:val="22"/>
        </w:rPr>
        <w:t xml:space="preserve">, </w:t>
      </w:r>
      <w:r w:rsidR="000D1745" w:rsidRPr="00AC3484">
        <w:rPr>
          <w:rFonts w:asciiTheme="minorHAnsi" w:hAnsiTheme="minorHAnsi" w:cstheme="minorHAnsi"/>
          <w:sz w:val="22"/>
          <w:szCs w:val="22"/>
        </w:rPr>
        <w:t>palestras</w:t>
      </w:r>
      <w:r w:rsidR="00AC3484" w:rsidRPr="00AC3484">
        <w:rPr>
          <w:rFonts w:asciiTheme="minorHAnsi" w:hAnsiTheme="minorHAnsi" w:cstheme="minorHAnsi"/>
          <w:sz w:val="22"/>
          <w:szCs w:val="22"/>
        </w:rPr>
        <w:t xml:space="preserve">, </w:t>
      </w:r>
      <w:r w:rsidR="0056701B" w:rsidRPr="00AC3484">
        <w:rPr>
          <w:rFonts w:asciiTheme="minorHAnsi" w:hAnsiTheme="minorHAnsi" w:cstheme="minorHAnsi"/>
          <w:sz w:val="22"/>
          <w:szCs w:val="22"/>
        </w:rPr>
        <w:t>cursos</w:t>
      </w:r>
      <w:r w:rsidR="00AC3484" w:rsidRPr="00AC3484">
        <w:rPr>
          <w:rFonts w:asciiTheme="minorHAnsi" w:hAnsiTheme="minorHAnsi" w:cstheme="minorHAnsi"/>
          <w:sz w:val="22"/>
          <w:szCs w:val="22"/>
        </w:rPr>
        <w:t>, publicação de livro e</w:t>
      </w:r>
      <w:r w:rsidR="0056701B" w:rsidRPr="00AC3484">
        <w:rPr>
          <w:rFonts w:asciiTheme="minorHAnsi" w:hAnsiTheme="minorHAnsi" w:cstheme="minorHAnsi"/>
          <w:sz w:val="22"/>
          <w:szCs w:val="22"/>
        </w:rPr>
        <w:t xml:space="preserve"> postagens em redes sociais. </w:t>
      </w:r>
      <w:r w:rsidR="000D1745" w:rsidRPr="00AC3484">
        <w:rPr>
          <w:rFonts w:asciiTheme="minorHAnsi" w:hAnsiTheme="minorHAnsi" w:cstheme="minorHAnsi"/>
          <w:sz w:val="22"/>
          <w:szCs w:val="22"/>
        </w:rPr>
        <w:t>Ao todo, esses eventos somam mais de 180 visualizações</w:t>
      </w:r>
      <w:r w:rsidR="0056701B" w:rsidRPr="00AC3484">
        <w:rPr>
          <w:rFonts w:asciiTheme="minorHAnsi" w:hAnsiTheme="minorHAnsi" w:cstheme="minorHAnsi"/>
          <w:sz w:val="22"/>
          <w:szCs w:val="22"/>
        </w:rPr>
        <w:t xml:space="preserve"> e </w:t>
      </w:r>
      <w:r w:rsidR="000D1745" w:rsidRPr="00AC3484">
        <w:rPr>
          <w:rFonts w:asciiTheme="minorHAnsi" w:hAnsiTheme="minorHAnsi" w:cstheme="minorHAnsi"/>
          <w:sz w:val="22"/>
          <w:szCs w:val="22"/>
        </w:rPr>
        <w:t xml:space="preserve">40 postagens em sua página no </w:t>
      </w:r>
      <w:proofErr w:type="spellStart"/>
      <w:r w:rsidR="000D1745" w:rsidRPr="00AC3484">
        <w:rPr>
          <w:rFonts w:asciiTheme="minorHAnsi" w:hAnsiTheme="minorHAnsi" w:cstheme="minorHAnsi"/>
          <w:sz w:val="22"/>
          <w:szCs w:val="22"/>
        </w:rPr>
        <w:t>Instagram</w:t>
      </w:r>
      <w:proofErr w:type="spellEnd"/>
      <w:r w:rsidR="000D1745" w:rsidRPr="00AC3484">
        <w:rPr>
          <w:rFonts w:asciiTheme="minorHAnsi" w:hAnsiTheme="minorHAnsi" w:cstheme="minorHAnsi"/>
          <w:sz w:val="22"/>
          <w:szCs w:val="22"/>
        </w:rPr>
        <w:t xml:space="preserve">. </w:t>
      </w:r>
      <w:r w:rsidR="0056701B" w:rsidRPr="00AC3484">
        <w:rPr>
          <w:rFonts w:asciiTheme="minorHAnsi" w:hAnsiTheme="minorHAnsi" w:cstheme="minorHAnsi"/>
          <w:sz w:val="22"/>
          <w:szCs w:val="22"/>
        </w:rPr>
        <w:t>Destaque</w:t>
      </w:r>
      <w:r w:rsidR="0096427A">
        <w:rPr>
          <w:rFonts w:asciiTheme="minorHAnsi" w:hAnsiTheme="minorHAnsi" w:cstheme="minorHAnsi"/>
          <w:sz w:val="22"/>
          <w:szCs w:val="22"/>
        </w:rPr>
        <w:t>s</w:t>
      </w:r>
      <w:r w:rsidR="0056701B" w:rsidRPr="00AC3484">
        <w:rPr>
          <w:rFonts w:asciiTheme="minorHAnsi" w:hAnsiTheme="minorHAnsi" w:cstheme="minorHAnsi"/>
          <w:sz w:val="22"/>
          <w:szCs w:val="22"/>
        </w:rPr>
        <w:t xml:space="preserve"> para a</w:t>
      </w:r>
      <w:r w:rsidR="000D1745" w:rsidRPr="00AC3484">
        <w:rPr>
          <w:rFonts w:asciiTheme="minorHAnsi" w:hAnsiTheme="minorHAnsi" w:cstheme="minorHAnsi"/>
          <w:sz w:val="22"/>
          <w:szCs w:val="22"/>
        </w:rPr>
        <w:t xml:space="preserve"> publicação, em parceria com o </w:t>
      </w:r>
      <w:proofErr w:type="gramStart"/>
      <w:r w:rsidR="000D1745" w:rsidRPr="00AC3484">
        <w:rPr>
          <w:rFonts w:asciiTheme="minorHAnsi" w:hAnsiTheme="minorHAnsi" w:cstheme="minorHAnsi"/>
          <w:sz w:val="22"/>
          <w:szCs w:val="22"/>
        </w:rPr>
        <w:t>Sebrae</w:t>
      </w:r>
      <w:proofErr w:type="gramEnd"/>
      <w:r w:rsidR="000D1745" w:rsidRPr="00AC3484">
        <w:rPr>
          <w:rFonts w:asciiTheme="minorHAnsi" w:hAnsiTheme="minorHAnsi" w:cstheme="minorHAnsi"/>
          <w:sz w:val="22"/>
          <w:szCs w:val="22"/>
        </w:rPr>
        <w:t>-SC, do livro “Inovação Social e Empreendedorismo: Relatos de experiências com a Universidade Federal de Santa Catarina</w:t>
      </w:r>
      <w:r w:rsidR="0096427A">
        <w:rPr>
          <w:rFonts w:asciiTheme="minorHAnsi" w:hAnsiTheme="minorHAnsi" w:cstheme="minorHAnsi"/>
          <w:sz w:val="22"/>
          <w:szCs w:val="22"/>
        </w:rPr>
        <w:t>” e para a</w:t>
      </w:r>
      <w:r w:rsidR="000D1745" w:rsidRPr="00AC3484">
        <w:rPr>
          <w:rFonts w:asciiTheme="minorHAnsi" w:hAnsiTheme="minorHAnsi" w:cstheme="minorHAnsi"/>
          <w:sz w:val="22"/>
          <w:szCs w:val="22"/>
        </w:rPr>
        <w:t xml:space="preserve"> </w:t>
      </w:r>
      <w:r>
        <w:rPr>
          <w:rFonts w:asciiTheme="minorHAnsi" w:hAnsiTheme="minorHAnsi" w:cstheme="minorHAnsi"/>
          <w:sz w:val="22"/>
          <w:szCs w:val="22"/>
        </w:rPr>
        <w:t>execu</w:t>
      </w:r>
      <w:r w:rsidR="0096427A">
        <w:rPr>
          <w:rFonts w:asciiTheme="minorHAnsi" w:hAnsiTheme="minorHAnsi" w:cstheme="minorHAnsi"/>
          <w:sz w:val="22"/>
          <w:szCs w:val="22"/>
        </w:rPr>
        <w:t>ção</w:t>
      </w:r>
      <w:r>
        <w:rPr>
          <w:rFonts w:asciiTheme="minorHAnsi" w:hAnsiTheme="minorHAnsi" w:cstheme="minorHAnsi"/>
          <w:sz w:val="22"/>
          <w:szCs w:val="22"/>
        </w:rPr>
        <w:t xml:space="preserve"> </w:t>
      </w:r>
      <w:r w:rsidR="0096427A">
        <w:rPr>
          <w:rFonts w:asciiTheme="minorHAnsi" w:hAnsiTheme="minorHAnsi" w:cstheme="minorHAnsi"/>
          <w:sz w:val="22"/>
          <w:szCs w:val="22"/>
        </w:rPr>
        <w:t>d</w:t>
      </w:r>
      <w:r w:rsidR="000D1745" w:rsidRPr="00AC3484">
        <w:rPr>
          <w:rFonts w:asciiTheme="minorHAnsi" w:hAnsiTheme="minorHAnsi" w:cstheme="minorHAnsi"/>
          <w:sz w:val="22"/>
          <w:szCs w:val="22"/>
        </w:rPr>
        <w:t>o curso de Assistente de Recursos Humanos</w:t>
      </w:r>
      <w:r w:rsidRPr="00342253">
        <w:rPr>
          <w:rFonts w:asciiTheme="minorHAnsi" w:hAnsiTheme="minorHAnsi" w:cstheme="minorHAnsi"/>
          <w:sz w:val="22"/>
          <w:szCs w:val="22"/>
        </w:rPr>
        <w:t xml:space="preserve"> </w:t>
      </w:r>
      <w:r w:rsidRPr="00AC3484">
        <w:rPr>
          <w:rFonts w:asciiTheme="minorHAnsi" w:hAnsiTheme="minorHAnsi" w:cstheme="minorHAnsi"/>
          <w:sz w:val="22"/>
          <w:szCs w:val="22"/>
        </w:rPr>
        <w:t xml:space="preserve">do Programa </w:t>
      </w:r>
      <w:proofErr w:type="spellStart"/>
      <w:r w:rsidRPr="00AC3484">
        <w:rPr>
          <w:rFonts w:asciiTheme="minorHAnsi" w:hAnsiTheme="minorHAnsi" w:cstheme="minorHAnsi"/>
          <w:sz w:val="22"/>
          <w:szCs w:val="22"/>
        </w:rPr>
        <w:t>Floripa</w:t>
      </w:r>
      <w:proofErr w:type="spellEnd"/>
      <w:r w:rsidRPr="00AC3484">
        <w:rPr>
          <w:rFonts w:asciiTheme="minorHAnsi" w:hAnsiTheme="minorHAnsi" w:cstheme="minorHAnsi"/>
          <w:sz w:val="22"/>
          <w:szCs w:val="22"/>
        </w:rPr>
        <w:t xml:space="preserve"> Mais Empregos</w:t>
      </w:r>
      <w:r>
        <w:rPr>
          <w:rFonts w:asciiTheme="minorHAnsi" w:hAnsiTheme="minorHAnsi" w:cstheme="minorHAnsi"/>
          <w:sz w:val="22"/>
          <w:szCs w:val="22"/>
        </w:rPr>
        <w:t xml:space="preserve"> da</w:t>
      </w:r>
      <w:r w:rsidR="000D1745" w:rsidRPr="00AC3484">
        <w:rPr>
          <w:rFonts w:asciiTheme="minorHAnsi" w:hAnsiTheme="minorHAnsi" w:cstheme="minorHAnsi"/>
          <w:sz w:val="22"/>
          <w:szCs w:val="22"/>
        </w:rPr>
        <w:t xml:space="preserve"> p</w:t>
      </w:r>
      <w:r>
        <w:rPr>
          <w:rFonts w:asciiTheme="minorHAnsi" w:hAnsiTheme="minorHAnsi" w:cstheme="minorHAnsi"/>
          <w:sz w:val="22"/>
          <w:szCs w:val="22"/>
        </w:rPr>
        <w:t xml:space="preserve">refeitura de Florianópolis. </w:t>
      </w:r>
    </w:p>
    <w:p w:rsidR="000D1745" w:rsidRPr="00AC3484" w:rsidRDefault="000D1745" w:rsidP="00133A1C">
      <w:pPr>
        <w:jc w:val="both"/>
        <w:rPr>
          <w:rFonts w:asciiTheme="minorHAnsi" w:hAnsiTheme="minorHAnsi" w:cstheme="minorHAnsi"/>
          <w:b/>
          <w:sz w:val="22"/>
          <w:szCs w:val="22"/>
        </w:rPr>
      </w:pPr>
    </w:p>
    <w:p w:rsidR="00692BA5" w:rsidRPr="00CB3E89" w:rsidRDefault="000D1745" w:rsidP="00692BA5">
      <w:pPr>
        <w:spacing w:after="120"/>
        <w:jc w:val="both"/>
        <w:rPr>
          <w:rFonts w:asciiTheme="minorHAnsi" w:hAnsiTheme="minorHAnsi" w:cstheme="minorHAnsi"/>
          <w:b/>
          <w:sz w:val="22"/>
          <w:szCs w:val="22"/>
        </w:rPr>
      </w:pPr>
      <w:r w:rsidRPr="00AC3484">
        <w:rPr>
          <w:rFonts w:asciiTheme="minorHAnsi" w:hAnsiTheme="minorHAnsi" w:cstheme="minorHAnsi"/>
          <w:b/>
          <w:sz w:val="22"/>
          <w:szCs w:val="22"/>
        </w:rPr>
        <w:t xml:space="preserve">III) </w:t>
      </w:r>
      <w:r w:rsidR="00692BA5" w:rsidRPr="00133A1C">
        <w:rPr>
          <w:rFonts w:asciiTheme="minorHAnsi" w:hAnsiTheme="minorHAnsi" w:cstheme="minorHAnsi"/>
          <w:b/>
          <w:sz w:val="22"/>
          <w:szCs w:val="22"/>
        </w:rPr>
        <w:t xml:space="preserve">Projeto </w:t>
      </w:r>
      <w:proofErr w:type="spellStart"/>
      <w:r w:rsidR="00692BA5" w:rsidRPr="00133A1C">
        <w:rPr>
          <w:rFonts w:asciiTheme="minorHAnsi" w:hAnsiTheme="minorHAnsi" w:cstheme="minorHAnsi"/>
          <w:b/>
          <w:sz w:val="22"/>
          <w:szCs w:val="22"/>
        </w:rPr>
        <w:t>Develop</w:t>
      </w:r>
      <w:proofErr w:type="spellEnd"/>
      <w:r w:rsidR="00692BA5" w:rsidRPr="00133A1C">
        <w:rPr>
          <w:rFonts w:asciiTheme="minorHAnsi" w:eastAsia="Calibri" w:hAnsiTheme="minorHAnsi" w:cstheme="minorHAnsi"/>
          <w:b/>
          <w:sz w:val="22"/>
          <w:szCs w:val="22"/>
        </w:rPr>
        <w:t xml:space="preserve"> </w:t>
      </w:r>
    </w:p>
    <w:p w:rsidR="00692BA5" w:rsidRDefault="00692BA5" w:rsidP="00692BA5">
      <w:pPr>
        <w:jc w:val="both"/>
        <w:rPr>
          <w:rFonts w:asciiTheme="minorHAnsi" w:hAnsiTheme="minorHAnsi" w:cstheme="minorHAnsi"/>
          <w:sz w:val="22"/>
          <w:szCs w:val="22"/>
        </w:rPr>
      </w:pPr>
      <w:r w:rsidRPr="00133A1C">
        <w:rPr>
          <w:rFonts w:asciiTheme="minorHAnsi" w:hAnsiTheme="minorHAnsi" w:cstheme="minorHAnsi"/>
          <w:sz w:val="22"/>
          <w:szCs w:val="22"/>
        </w:rPr>
        <w:t xml:space="preserve">Projeto parceria com o Laboratório LIPPE/UFSC que teve início em </w:t>
      </w:r>
      <w:proofErr w:type="spellStart"/>
      <w:r w:rsidRPr="00133A1C">
        <w:rPr>
          <w:rFonts w:asciiTheme="minorHAnsi" w:hAnsiTheme="minorHAnsi" w:cstheme="minorHAnsi"/>
          <w:sz w:val="22"/>
          <w:szCs w:val="22"/>
        </w:rPr>
        <w:t>Jul</w:t>
      </w:r>
      <w:proofErr w:type="spellEnd"/>
      <w:r w:rsidRPr="00133A1C">
        <w:rPr>
          <w:rFonts w:asciiTheme="minorHAnsi" w:hAnsiTheme="minorHAnsi" w:cstheme="minorHAnsi"/>
          <w:sz w:val="22"/>
          <w:szCs w:val="22"/>
        </w:rPr>
        <w:t>/2021 com o objetivo de transformar as patentes produzidas na UFSC em soluções para o meio produtivo, resultando de fato em inovação. Cinco ativos de propriedade intelectual foram selecionados para modelagem de negócios. Atualmente, dois ativos de PI já estão em fase final de negociação por meio de um contrato de Know-How e o outro por um Memorando de Entendimento. Os demais ativos estão em prospecção.</w:t>
      </w:r>
    </w:p>
    <w:p w:rsidR="001D2344" w:rsidRDefault="001D2344" w:rsidP="00692BA5">
      <w:pPr>
        <w:jc w:val="both"/>
        <w:rPr>
          <w:rFonts w:asciiTheme="minorHAnsi" w:hAnsiTheme="minorHAnsi" w:cstheme="minorHAnsi"/>
          <w:sz w:val="22"/>
          <w:szCs w:val="22"/>
        </w:rPr>
      </w:pPr>
    </w:p>
    <w:p w:rsidR="001D2344" w:rsidRDefault="001D2344" w:rsidP="00692BA5">
      <w:pPr>
        <w:jc w:val="both"/>
        <w:rPr>
          <w:rFonts w:asciiTheme="minorHAnsi" w:hAnsiTheme="minorHAnsi" w:cstheme="minorHAnsi"/>
          <w:sz w:val="22"/>
          <w:szCs w:val="22"/>
        </w:rPr>
      </w:pPr>
    </w:p>
    <w:p w:rsidR="00692BA5" w:rsidRPr="00692BA5" w:rsidRDefault="00A3353B" w:rsidP="00692BA5">
      <w:pPr>
        <w:jc w:val="both"/>
        <w:rPr>
          <w:rFonts w:asciiTheme="minorHAnsi" w:hAnsiTheme="minorHAnsi" w:cstheme="minorHAnsi"/>
          <w:sz w:val="22"/>
          <w:szCs w:val="22"/>
        </w:rPr>
      </w:pPr>
      <w:r w:rsidRPr="00133A1C">
        <w:rPr>
          <w:rFonts w:asciiTheme="minorHAnsi" w:hAnsiTheme="minorHAnsi" w:cstheme="minorHAnsi"/>
          <w:b/>
          <w:sz w:val="22"/>
          <w:szCs w:val="22"/>
        </w:rPr>
        <w:t>IV</w:t>
      </w:r>
      <w:r w:rsidR="00886824" w:rsidRPr="00133A1C">
        <w:rPr>
          <w:rFonts w:asciiTheme="minorHAnsi" w:hAnsiTheme="minorHAnsi" w:cstheme="minorHAnsi"/>
          <w:b/>
          <w:sz w:val="22"/>
          <w:szCs w:val="22"/>
        </w:rPr>
        <w:t xml:space="preserve">) </w:t>
      </w:r>
      <w:r w:rsidR="00692BA5" w:rsidRPr="00AC3484">
        <w:rPr>
          <w:rFonts w:asciiTheme="minorHAnsi" w:hAnsiTheme="minorHAnsi" w:cstheme="minorHAnsi"/>
          <w:b/>
          <w:sz w:val="22"/>
          <w:szCs w:val="22"/>
        </w:rPr>
        <w:t>Projeto Observatório Institucional</w:t>
      </w:r>
    </w:p>
    <w:p w:rsidR="006840A5" w:rsidRDefault="00692BA5" w:rsidP="00692BA5">
      <w:pPr>
        <w:shd w:val="clear" w:color="auto" w:fill="FFFFFF"/>
        <w:suppressAutoHyphens w:val="0"/>
        <w:spacing w:line="235" w:lineRule="atLeast"/>
        <w:jc w:val="both"/>
        <w:rPr>
          <w:rFonts w:asciiTheme="minorHAnsi" w:hAnsiTheme="minorHAnsi" w:cstheme="minorHAnsi"/>
          <w:color w:val="333333"/>
          <w:sz w:val="22"/>
          <w:szCs w:val="22"/>
        </w:rPr>
      </w:pPr>
      <w:r>
        <w:rPr>
          <w:rFonts w:asciiTheme="minorHAnsi" w:hAnsiTheme="minorHAnsi" w:cstheme="minorHAnsi"/>
          <w:color w:val="222222"/>
          <w:sz w:val="22"/>
          <w:szCs w:val="22"/>
        </w:rPr>
        <w:t>Lançado</w:t>
      </w:r>
      <w:r w:rsidRPr="00AC3484">
        <w:rPr>
          <w:rFonts w:asciiTheme="minorHAnsi" w:hAnsiTheme="minorHAnsi" w:cstheme="minorHAnsi"/>
          <w:color w:val="222222"/>
          <w:sz w:val="22"/>
          <w:szCs w:val="22"/>
        </w:rPr>
        <w:t xml:space="preserve"> em </w:t>
      </w:r>
      <w:proofErr w:type="spellStart"/>
      <w:r>
        <w:rPr>
          <w:rFonts w:asciiTheme="minorHAnsi" w:hAnsiTheme="minorHAnsi" w:cstheme="minorHAnsi"/>
          <w:color w:val="222222"/>
          <w:sz w:val="22"/>
          <w:szCs w:val="22"/>
        </w:rPr>
        <w:t>Nov</w:t>
      </w:r>
      <w:proofErr w:type="spellEnd"/>
      <w:r w:rsidRPr="00AC3484">
        <w:rPr>
          <w:rFonts w:asciiTheme="minorHAnsi" w:hAnsiTheme="minorHAnsi" w:cstheme="minorHAnsi"/>
          <w:color w:val="222222"/>
          <w:sz w:val="22"/>
          <w:szCs w:val="22"/>
        </w:rPr>
        <w:t>/2021</w:t>
      </w:r>
      <w:r>
        <w:rPr>
          <w:rFonts w:asciiTheme="minorHAnsi" w:hAnsiTheme="minorHAnsi" w:cstheme="minorHAnsi"/>
          <w:color w:val="222222"/>
          <w:sz w:val="22"/>
          <w:szCs w:val="22"/>
        </w:rPr>
        <w:t>, t</w:t>
      </w:r>
      <w:r w:rsidRPr="00AC3484">
        <w:rPr>
          <w:rFonts w:asciiTheme="minorHAnsi" w:hAnsiTheme="minorHAnsi" w:cstheme="minorHAnsi"/>
          <w:color w:val="222222"/>
          <w:sz w:val="22"/>
          <w:szCs w:val="22"/>
        </w:rPr>
        <w:t xml:space="preserve">rata-se de uma </w:t>
      </w:r>
      <w:r w:rsidRPr="00AC3484">
        <w:rPr>
          <w:rFonts w:asciiTheme="minorHAnsi" w:hAnsiTheme="minorHAnsi" w:cstheme="minorHAnsi"/>
          <w:color w:val="333333"/>
          <w:sz w:val="22"/>
          <w:szCs w:val="22"/>
        </w:rPr>
        <w:t>plataforma de transparência e apoio à gestão que integra, em um único ambiente dados e informações de vários domínios da instituição, organizados em 106 </w:t>
      </w:r>
      <w:proofErr w:type="spellStart"/>
      <w:r w:rsidRPr="00AC3484">
        <w:rPr>
          <w:rStyle w:val="nfase"/>
          <w:rFonts w:asciiTheme="minorHAnsi" w:hAnsiTheme="minorHAnsi" w:cstheme="minorHAnsi"/>
          <w:color w:val="333333"/>
          <w:sz w:val="22"/>
          <w:szCs w:val="22"/>
          <w:bdr w:val="none" w:sz="0" w:space="0" w:color="auto" w:frame="1"/>
        </w:rPr>
        <w:t>dashboards</w:t>
      </w:r>
      <w:proofErr w:type="spellEnd"/>
      <w:r w:rsidRPr="00AC3484">
        <w:rPr>
          <w:rFonts w:asciiTheme="minorHAnsi" w:hAnsiTheme="minorHAnsi" w:cstheme="minorHAnsi"/>
          <w:color w:val="333333"/>
          <w:sz w:val="22"/>
          <w:szCs w:val="22"/>
        </w:rPr>
        <w:t> de apoio à decisão e mais de 300 indicadores sobre 21 áreas da UFSC, incluindo ensino, pesquisa, extensão, gestão administrativa, inovação, entre outras.</w:t>
      </w:r>
    </w:p>
    <w:p w:rsidR="00692BA5" w:rsidRPr="00692BA5" w:rsidRDefault="00692BA5" w:rsidP="00692BA5">
      <w:pPr>
        <w:pStyle w:val="SemEspaamento"/>
        <w:tabs>
          <w:tab w:val="left" w:pos="2410"/>
        </w:tabs>
        <w:spacing w:before="240" w:after="120"/>
        <w:jc w:val="center"/>
        <w:rPr>
          <w:rFonts w:asciiTheme="minorHAnsi" w:hAnsiTheme="minorHAnsi" w:cstheme="minorHAnsi"/>
          <w:i/>
          <w:iCs/>
          <w:sz w:val="22"/>
          <w:szCs w:val="24"/>
        </w:rPr>
      </w:pPr>
      <w:r>
        <w:rPr>
          <w:rStyle w:val="nfase"/>
          <w:rFonts w:asciiTheme="minorHAnsi" w:hAnsiTheme="minorHAnsi" w:cstheme="minorHAnsi"/>
          <w:i w:val="0"/>
          <w:sz w:val="22"/>
          <w:szCs w:val="24"/>
        </w:rPr>
        <w:t xml:space="preserve">Portal do Observatório UFSC – </w:t>
      </w:r>
      <w:r w:rsidRPr="00692BA5">
        <w:rPr>
          <w:rStyle w:val="nfase"/>
          <w:rFonts w:asciiTheme="minorHAnsi" w:hAnsiTheme="minorHAnsi" w:cstheme="minorHAnsi"/>
          <w:sz w:val="22"/>
          <w:szCs w:val="24"/>
        </w:rPr>
        <w:t>obs.</w:t>
      </w:r>
      <w:proofErr w:type="gramStart"/>
      <w:r w:rsidRPr="00692BA5">
        <w:rPr>
          <w:rStyle w:val="nfase"/>
          <w:rFonts w:asciiTheme="minorHAnsi" w:hAnsiTheme="minorHAnsi" w:cstheme="minorHAnsi"/>
          <w:sz w:val="22"/>
          <w:szCs w:val="24"/>
        </w:rPr>
        <w:t>ufsc</w:t>
      </w:r>
      <w:proofErr w:type="gramEnd"/>
      <w:r w:rsidRPr="00692BA5">
        <w:rPr>
          <w:rStyle w:val="nfase"/>
          <w:rFonts w:asciiTheme="minorHAnsi" w:hAnsiTheme="minorHAnsi" w:cstheme="minorHAnsi"/>
          <w:sz w:val="22"/>
          <w:szCs w:val="24"/>
        </w:rPr>
        <w:t>.br</w:t>
      </w:r>
    </w:p>
    <w:p w:rsidR="00692BA5" w:rsidRPr="00692BA5" w:rsidRDefault="00692BA5" w:rsidP="00692BA5">
      <w:pPr>
        <w:shd w:val="clear" w:color="auto" w:fill="FFFFFF"/>
        <w:suppressAutoHyphens w:val="0"/>
        <w:spacing w:line="235" w:lineRule="atLeast"/>
        <w:jc w:val="center"/>
        <w:rPr>
          <w:rFonts w:asciiTheme="minorHAnsi" w:hAnsiTheme="minorHAnsi" w:cstheme="minorHAnsi"/>
          <w:color w:val="333333"/>
          <w:sz w:val="22"/>
          <w:szCs w:val="22"/>
        </w:rPr>
      </w:pPr>
      <w:r w:rsidRPr="00692BA5">
        <w:rPr>
          <w:rFonts w:asciiTheme="minorHAnsi" w:hAnsiTheme="minorHAnsi" w:cstheme="minorHAnsi"/>
          <w:noProof/>
          <w:color w:val="333333"/>
          <w:sz w:val="22"/>
          <w:szCs w:val="22"/>
        </w:rPr>
        <w:drawing>
          <wp:inline distT="0" distB="0" distL="0" distR="0" wp14:anchorId="28A9D24C" wp14:editId="15F56EF3">
            <wp:extent cx="3371353" cy="2393343"/>
            <wp:effectExtent l="0" t="0" r="63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72472" cy="2394137"/>
                    </a:xfrm>
                    <a:prstGeom prst="rect">
                      <a:avLst/>
                    </a:prstGeom>
                  </pic:spPr>
                </pic:pic>
              </a:graphicData>
            </a:graphic>
          </wp:inline>
        </w:drawing>
      </w:r>
    </w:p>
    <w:p w:rsidR="006840A5" w:rsidRPr="00133A1C" w:rsidRDefault="006840A5" w:rsidP="00133A1C">
      <w:pPr>
        <w:jc w:val="both"/>
        <w:rPr>
          <w:rFonts w:asciiTheme="minorHAnsi" w:hAnsiTheme="minorHAnsi" w:cstheme="minorHAnsi"/>
          <w:b/>
          <w:sz w:val="22"/>
          <w:szCs w:val="22"/>
        </w:rPr>
      </w:pPr>
    </w:p>
    <w:p w:rsidR="00886824" w:rsidRPr="00133A1C" w:rsidRDefault="00A3353B" w:rsidP="00692BA5">
      <w:pPr>
        <w:spacing w:before="240" w:after="120"/>
        <w:jc w:val="both"/>
        <w:rPr>
          <w:rFonts w:asciiTheme="minorHAnsi" w:hAnsiTheme="minorHAnsi" w:cstheme="minorHAnsi"/>
          <w:b/>
          <w:sz w:val="22"/>
          <w:szCs w:val="22"/>
        </w:rPr>
      </w:pPr>
      <w:r w:rsidRPr="00133A1C">
        <w:rPr>
          <w:rFonts w:asciiTheme="minorHAnsi" w:hAnsiTheme="minorHAnsi" w:cstheme="minorHAnsi"/>
          <w:b/>
          <w:sz w:val="22"/>
          <w:szCs w:val="22"/>
        </w:rPr>
        <w:t>V</w:t>
      </w:r>
      <w:r w:rsidR="00AC3484" w:rsidRPr="00133A1C">
        <w:rPr>
          <w:rFonts w:asciiTheme="minorHAnsi" w:hAnsiTheme="minorHAnsi" w:cstheme="minorHAnsi"/>
          <w:b/>
          <w:sz w:val="22"/>
          <w:szCs w:val="22"/>
        </w:rPr>
        <w:t xml:space="preserve">) </w:t>
      </w:r>
      <w:r w:rsidR="00886824" w:rsidRPr="00133A1C">
        <w:rPr>
          <w:rFonts w:asciiTheme="minorHAnsi" w:hAnsiTheme="minorHAnsi" w:cstheme="minorHAnsi"/>
          <w:b/>
          <w:sz w:val="22"/>
          <w:szCs w:val="22"/>
        </w:rPr>
        <w:t xml:space="preserve">Projeto </w:t>
      </w:r>
      <w:proofErr w:type="spellStart"/>
      <w:r w:rsidR="00886824" w:rsidRPr="00133A1C">
        <w:rPr>
          <w:rFonts w:asciiTheme="minorHAnsi" w:hAnsiTheme="minorHAnsi" w:cstheme="minorHAnsi"/>
          <w:b/>
          <w:sz w:val="22"/>
          <w:szCs w:val="22"/>
        </w:rPr>
        <w:t>Mentoring</w:t>
      </w:r>
      <w:proofErr w:type="spellEnd"/>
      <w:r w:rsidR="007565C9" w:rsidRPr="00133A1C">
        <w:rPr>
          <w:rFonts w:asciiTheme="minorHAnsi" w:hAnsiTheme="minorHAnsi" w:cstheme="minorHAnsi"/>
          <w:b/>
          <w:sz w:val="22"/>
          <w:szCs w:val="22"/>
        </w:rPr>
        <w:t xml:space="preserve"> e </w:t>
      </w:r>
      <w:proofErr w:type="spellStart"/>
      <w:r w:rsidR="007565C9" w:rsidRPr="00133A1C">
        <w:rPr>
          <w:rFonts w:asciiTheme="minorHAnsi" w:hAnsiTheme="minorHAnsi" w:cstheme="minorHAnsi"/>
          <w:b/>
          <w:sz w:val="22"/>
          <w:szCs w:val="22"/>
        </w:rPr>
        <w:t>Warmup</w:t>
      </w:r>
      <w:proofErr w:type="spellEnd"/>
    </w:p>
    <w:p w:rsidR="00886824" w:rsidRPr="00354CC3" w:rsidRDefault="00354CC3" w:rsidP="00133A1C">
      <w:pPr>
        <w:suppressAutoHyphens w:val="0"/>
        <w:spacing w:after="240"/>
        <w:jc w:val="both"/>
        <w:rPr>
          <w:rFonts w:asciiTheme="minorHAnsi" w:hAnsiTheme="minorHAnsi" w:cstheme="minorHAnsi"/>
          <w:sz w:val="22"/>
          <w:szCs w:val="22"/>
        </w:rPr>
      </w:pPr>
      <w:r w:rsidRPr="00354CC3">
        <w:rPr>
          <w:rFonts w:asciiTheme="minorHAnsi" w:hAnsiTheme="minorHAnsi" w:cstheme="minorHAnsi"/>
          <w:sz w:val="22"/>
          <w:szCs w:val="22"/>
        </w:rPr>
        <w:t>Buscam</w:t>
      </w:r>
      <w:r w:rsidR="007565C9" w:rsidRPr="00354CC3">
        <w:rPr>
          <w:rFonts w:asciiTheme="minorHAnsi" w:hAnsiTheme="minorHAnsi" w:cstheme="minorHAnsi"/>
          <w:sz w:val="22"/>
          <w:szCs w:val="22"/>
        </w:rPr>
        <w:t xml:space="preserve"> incentivar a inovação e o empreendedorismo junto </w:t>
      </w:r>
      <w:r w:rsidR="0096427A" w:rsidRPr="00354CC3">
        <w:rPr>
          <w:rFonts w:asciiTheme="minorHAnsi" w:hAnsiTheme="minorHAnsi" w:cstheme="minorHAnsi"/>
          <w:sz w:val="22"/>
          <w:szCs w:val="22"/>
        </w:rPr>
        <w:t>à</w:t>
      </w:r>
      <w:r w:rsidR="007565C9" w:rsidRPr="00354CC3">
        <w:rPr>
          <w:rFonts w:asciiTheme="minorHAnsi" w:hAnsiTheme="minorHAnsi" w:cstheme="minorHAnsi"/>
          <w:sz w:val="22"/>
          <w:szCs w:val="22"/>
        </w:rPr>
        <w:t xml:space="preserve"> comunidade acadêmica por meio de </w:t>
      </w:r>
      <w:proofErr w:type="spellStart"/>
      <w:r w:rsidR="007565C9" w:rsidRPr="00354CC3">
        <w:rPr>
          <w:rFonts w:asciiTheme="minorHAnsi" w:hAnsiTheme="minorHAnsi" w:cstheme="minorHAnsi"/>
          <w:sz w:val="22"/>
          <w:szCs w:val="22"/>
        </w:rPr>
        <w:t>mentorias</w:t>
      </w:r>
      <w:proofErr w:type="spellEnd"/>
      <w:r w:rsidR="007565C9" w:rsidRPr="00354CC3">
        <w:rPr>
          <w:rFonts w:asciiTheme="minorHAnsi" w:hAnsiTheme="minorHAnsi" w:cstheme="minorHAnsi"/>
          <w:sz w:val="22"/>
          <w:szCs w:val="22"/>
        </w:rPr>
        <w:t xml:space="preserve"> e interações junto ao ecossistema de inovação, visando </w:t>
      </w:r>
      <w:proofErr w:type="spellStart"/>
      <w:r>
        <w:rPr>
          <w:rFonts w:asciiTheme="minorHAnsi" w:hAnsiTheme="minorHAnsi" w:cstheme="minorHAnsi"/>
          <w:sz w:val="22"/>
          <w:szCs w:val="22"/>
        </w:rPr>
        <w:t>à</w:t>
      </w:r>
      <w:r w:rsidR="007565C9" w:rsidRPr="00354CC3">
        <w:rPr>
          <w:rFonts w:asciiTheme="minorHAnsi" w:hAnsiTheme="minorHAnsi" w:cstheme="minorHAnsi"/>
          <w:sz w:val="22"/>
          <w:szCs w:val="22"/>
        </w:rPr>
        <w:t>criação</w:t>
      </w:r>
      <w:proofErr w:type="spellEnd"/>
      <w:r w:rsidR="007565C9" w:rsidRPr="00354CC3">
        <w:rPr>
          <w:rFonts w:asciiTheme="minorHAnsi" w:hAnsiTheme="minorHAnsi" w:cstheme="minorHAnsi"/>
          <w:sz w:val="22"/>
          <w:szCs w:val="22"/>
        </w:rPr>
        <w:t xml:space="preserve"> de startups e iniciativas empreendedoras de alto impacto.</w:t>
      </w:r>
      <w:r w:rsidR="00A3353B" w:rsidRPr="00354CC3">
        <w:rPr>
          <w:rFonts w:asciiTheme="minorHAnsi" w:hAnsiTheme="minorHAnsi" w:cstheme="minorHAnsi"/>
          <w:sz w:val="22"/>
          <w:szCs w:val="22"/>
        </w:rPr>
        <w:t xml:space="preserve"> Em 2021</w:t>
      </w:r>
      <w:r w:rsidR="007565C9" w:rsidRPr="00354CC3">
        <w:rPr>
          <w:rFonts w:asciiTheme="minorHAnsi" w:hAnsiTheme="minorHAnsi" w:cstheme="minorHAnsi"/>
          <w:sz w:val="22"/>
          <w:szCs w:val="22"/>
        </w:rPr>
        <w:t xml:space="preserve"> </w:t>
      </w:r>
      <w:r w:rsidR="00A3353B" w:rsidRPr="00354CC3">
        <w:rPr>
          <w:rFonts w:asciiTheme="minorHAnsi" w:hAnsiTheme="minorHAnsi" w:cstheme="minorHAnsi"/>
          <w:sz w:val="22"/>
          <w:szCs w:val="22"/>
        </w:rPr>
        <w:t>foram</w:t>
      </w:r>
      <w:r w:rsidR="007565C9" w:rsidRPr="00354CC3">
        <w:rPr>
          <w:rFonts w:asciiTheme="minorHAnsi" w:hAnsiTheme="minorHAnsi" w:cstheme="minorHAnsi"/>
          <w:sz w:val="22"/>
          <w:szCs w:val="22"/>
        </w:rPr>
        <w:t xml:space="preserve"> </w:t>
      </w:r>
      <w:r w:rsidR="007565C9" w:rsidRPr="00354CC3">
        <w:rPr>
          <w:rFonts w:asciiTheme="minorHAnsi" w:hAnsiTheme="minorHAnsi" w:cstheme="minorHAnsi"/>
          <w:bCs/>
          <w:sz w:val="22"/>
          <w:szCs w:val="22"/>
        </w:rPr>
        <w:t xml:space="preserve">45 ideias </w:t>
      </w:r>
      <w:r w:rsidR="007565C9" w:rsidRPr="00354CC3">
        <w:rPr>
          <w:rFonts w:asciiTheme="minorHAnsi" w:hAnsiTheme="minorHAnsi" w:cstheme="minorHAnsi"/>
          <w:sz w:val="22"/>
          <w:szCs w:val="22"/>
        </w:rPr>
        <w:t xml:space="preserve">inscritas com </w:t>
      </w:r>
      <w:r w:rsidR="007565C9" w:rsidRPr="00354CC3">
        <w:rPr>
          <w:rFonts w:asciiTheme="minorHAnsi" w:hAnsiTheme="minorHAnsi" w:cstheme="minorHAnsi"/>
          <w:bCs/>
          <w:sz w:val="22"/>
          <w:szCs w:val="22"/>
        </w:rPr>
        <w:t>136 participantes</w:t>
      </w:r>
      <w:r w:rsidR="00A3353B" w:rsidRPr="00354CC3">
        <w:rPr>
          <w:rFonts w:asciiTheme="minorHAnsi" w:hAnsiTheme="minorHAnsi" w:cstheme="minorHAnsi"/>
          <w:sz w:val="22"/>
          <w:szCs w:val="22"/>
        </w:rPr>
        <w:t xml:space="preserve"> </w:t>
      </w:r>
      <w:r w:rsidR="006841B6" w:rsidRPr="00354CC3">
        <w:rPr>
          <w:rFonts w:asciiTheme="minorHAnsi" w:hAnsiTheme="minorHAnsi" w:cstheme="minorHAnsi"/>
          <w:sz w:val="22"/>
          <w:szCs w:val="22"/>
        </w:rPr>
        <w:t xml:space="preserve">de todos os Campi da UFSC </w:t>
      </w:r>
      <w:r w:rsidR="00A3353B" w:rsidRPr="00354CC3">
        <w:rPr>
          <w:rFonts w:asciiTheme="minorHAnsi" w:hAnsiTheme="minorHAnsi" w:cstheme="minorHAnsi"/>
          <w:sz w:val="22"/>
          <w:szCs w:val="22"/>
        </w:rPr>
        <w:t xml:space="preserve">que receberam </w:t>
      </w:r>
      <w:proofErr w:type="spellStart"/>
      <w:r w:rsidR="00A3353B" w:rsidRPr="00354CC3">
        <w:rPr>
          <w:rFonts w:asciiTheme="minorHAnsi" w:hAnsiTheme="minorHAnsi" w:cstheme="minorHAnsi"/>
          <w:sz w:val="22"/>
          <w:szCs w:val="22"/>
        </w:rPr>
        <w:t>mentorias</w:t>
      </w:r>
      <w:proofErr w:type="spellEnd"/>
      <w:r w:rsidR="00A3353B" w:rsidRPr="00354CC3">
        <w:rPr>
          <w:rFonts w:asciiTheme="minorHAnsi" w:hAnsiTheme="minorHAnsi" w:cstheme="minorHAnsi"/>
          <w:sz w:val="22"/>
          <w:szCs w:val="22"/>
        </w:rPr>
        <w:t xml:space="preserve"> e conheceram boas práticas para</w:t>
      </w:r>
      <w:r w:rsidR="006841B6" w:rsidRPr="00354CC3">
        <w:rPr>
          <w:rFonts w:asciiTheme="minorHAnsi" w:hAnsiTheme="minorHAnsi" w:cstheme="minorHAnsi"/>
          <w:sz w:val="22"/>
          <w:szCs w:val="22"/>
        </w:rPr>
        <w:t xml:space="preserve"> inovar e </w:t>
      </w:r>
      <w:r w:rsidR="00A3353B" w:rsidRPr="00354CC3">
        <w:rPr>
          <w:rFonts w:asciiTheme="minorHAnsi" w:hAnsiTheme="minorHAnsi" w:cstheme="minorHAnsi"/>
          <w:sz w:val="22"/>
          <w:szCs w:val="22"/>
        </w:rPr>
        <w:t>empreender.</w:t>
      </w:r>
      <w:r w:rsidR="0096427A" w:rsidRPr="00354CC3">
        <w:rPr>
          <w:rFonts w:asciiTheme="minorHAnsi" w:hAnsiTheme="minorHAnsi" w:cstheme="minorHAnsi"/>
          <w:sz w:val="22"/>
          <w:szCs w:val="22"/>
        </w:rPr>
        <w:t xml:space="preserve"> </w:t>
      </w:r>
      <w:r w:rsidR="007565C9" w:rsidRPr="00354CC3">
        <w:rPr>
          <w:rFonts w:asciiTheme="minorHAnsi" w:hAnsiTheme="minorHAnsi" w:cstheme="minorHAnsi"/>
          <w:sz w:val="22"/>
          <w:szCs w:val="22"/>
        </w:rPr>
        <w:t xml:space="preserve">Para a final, classificaram-se </w:t>
      </w:r>
      <w:r w:rsidR="007565C9" w:rsidRPr="00354CC3">
        <w:rPr>
          <w:rFonts w:asciiTheme="minorHAnsi" w:hAnsiTheme="minorHAnsi" w:cstheme="minorHAnsi"/>
          <w:bCs/>
          <w:sz w:val="22"/>
          <w:szCs w:val="22"/>
        </w:rPr>
        <w:t xml:space="preserve">14 equipes. O </w:t>
      </w:r>
      <w:r>
        <w:rPr>
          <w:rFonts w:asciiTheme="minorHAnsi" w:hAnsiTheme="minorHAnsi" w:cstheme="minorHAnsi"/>
          <w:bCs/>
          <w:sz w:val="22"/>
          <w:szCs w:val="22"/>
        </w:rPr>
        <w:t>projeto</w:t>
      </w:r>
      <w:r w:rsidR="007565C9" w:rsidRPr="00354CC3">
        <w:rPr>
          <w:rFonts w:asciiTheme="minorHAnsi" w:hAnsiTheme="minorHAnsi" w:cstheme="minorHAnsi"/>
          <w:sz w:val="22"/>
          <w:szCs w:val="22"/>
        </w:rPr>
        <w:t xml:space="preserve"> teve participação de </w:t>
      </w:r>
      <w:r w:rsidR="007565C9" w:rsidRPr="00354CC3">
        <w:rPr>
          <w:rFonts w:asciiTheme="minorHAnsi" w:hAnsiTheme="minorHAnsi" w:cstheme="minorHAnsi"/>
          <w:bCs/>
          <w:sz w:val="22"/>
          <w:szCs w:val="22"/>
        </w:rPr>
        <w:t>15 mentores</w:t>
      </w:r>
      <w:r w:rsidR="007565C9" w:rsidRPr="00354CC3">
        <w:rPr>
          <w:rFonts w:asciiTheme="minorHAnsi" w:hAnsiTheme="minorHAnsi" w:cstheme="minorHAnsi"/>
          <w:sz w:val="22"/>
          <w:szCs w:val="22"/>
        </w:rPr>
        <w:t xml:space="preserve">, que representaram </w:t>
      </w:r>
      <w:r w:rsidR="007565C9" w:rsidRPr="00354CC3">
        <w:rPr>
          <w:rFonts w:asciiTheme="minorHAnsi" w:hAnsiTheme="minorHAnsi" w:cstheme="minorHAnsi"/>
          <w:bCs/>
          <w:sz w:val="22"/>
          <w:szCs w:val="22"/>
        </w:rPr>
        <w:t xml:space="preserve">11 instituições </w:t>
      </w:r>
      <w:r w:rsidR="007565C9" w:rsidRPr="00354CC3">
        <w:rPr>
          <w:rFonts w:asciiTheme="minorHAnsi" w:hAnsiTheme="minorHAnsi" w:cstheme="minorHAnsi"/>
          <w:sz w:val="22"/>
          <w:szCs w:val="22"/>
        </w:rPr>
        <w:t xml:space="preserve">(UFSC, FIESC, SEBRAE, ACATE, FAPESC, RIA – Rede de Investidores Anjo da ACATE, Catarina </w:t>
      </w:r>
      <w:proofErr w:type="spellStart"/>
      <w:r w:rsidR="007565C9" w:rsidRPr="00354CC3">
        <w:rPr>
          <w:rFonts w:asciiTheme="minorHAnsi" w:hAnsiTheme="minorHAnsi" w:cstheme="minorHAnsi"/>
          <w:sz w:val="22"/>
          <w:szCs w:val="22"/>
        </w:rPr>
        <w:t>Angels</w:t>
      </w:r>
      <w:proofErr w:type="spellEnd"/>
      <w:r w:rsidR="007565C9" w:rsidRPr="00354CC3">
        <w:rPr>
          <w:rFonts w:asciiTheme="minorHAnsi" w:hAnsiTheme="minorHAnsi" w:cstheme="minorHAnsi"/>
          <w:sz w:val="22"/>
          <w:szCs w:val="22"/>
        </w:rPr>
        <w:t xml:space="preserve">, </w:t>
      </w:r>
      <w:proofErr w:type="spellStart"/>
      <w:r w:rsidR="007565C9" w:rsidRPr="00354CC3">
        <w:rPr>
          <w:rFonts w:asciiTheme="minorHAnsi" w:hAnsiTheme="minorHAnsi" w:cstheme="minorHAnsi"/>
          <w:sz w:val="22"/>
          <w:szCs w:val="22"/>
        </w:rPr>
        <w:t>Barrah</w:t>
      </w:r>
      <w:proofErr w:type="spellEnd"/>
      <w:r w:rsidR="007565C9" w:rsidRPr="00354CC3">
        <w:rPr>
          <w:rFonts w:asciiTheme="minorHAnsi" w:hAnsiTheme="minorHAnsi" w:cstheme="minorHAnsi"/>
          <w:sz w:val="22"/>
          <w:szCs w:val="22"/>
        </w:rPr>
        <w:t xml:space="preserve"> Ventures e </w:t>
      </w:r>
      <w:proofErr w:type="spellStart"/>
      <w:r w:rsidR="007565C9" w:rsidRPr="00354CC3">
        <w:rPr>
          <w:rFonts w:asciiTheme="minorHAnsi" w:hAnsiTheme="minorHAnsi" w:cstheme="minorHAnsi"/>
          <w:sz w:val="22"/>
          <w:szCs w:val="22"/>
        </w:rPr>
        <w:t>Vesper</w:t>
      </w:r>
      <w:proofErr w:type="spellEnd"/>
      <w:r w:rsidR="007565C9" w:rsidRPr="00354CC3">
        <w:rPr>
          <w:rFonts w:asciiTheme="minorHAnsi" w:hAnsiTheme="minorHAnsi" w:cstheme="minorHAnsi"/>
          <w:sz w:val="22"/>
          <w:szCs w:val="22"/>
        </w:rPr>
        <w:t xml:space="preserve"> Ventures) e Green Tech América Latina e PTI – Parque Tecnológico de Itaipu, instituições que se agregaram ao projeto.</w:t>
      </w:r>
      <w:r w:rsidR="006841B6" w:rsidRPr="00354CC3">
        <w:rPr>
          <w:rFonts w:asciiTheme="minorHAnsi" w:hAnsiTheme="minorHAnsi" w:cstheme="minorHAnsi"/>
          <w:sz w:val="22"/>
          <w:szCs w:val="22"/>
        </w:rPr>
        <w:t xml:space="preserve"> Já o projeto </w:t>
      </w:r>
      <w:proofErr w:type="spellStart"/>
      <w:r w:rsidR="006841B6" w:rsidRPr="00354CC3">
        <w:rPr>
          <w:rFonts w:asciiTheme="minorHAnsi" w:hAnsiTheme="minorHAnsi" w:cstheme="minorHAnsi"/>
          <w:sz w:val="22"/>
          <w:szCs w:val="22"/>
        </w:rPr>
        <w:t>Warmup</w:t>
      </w:r>
      <w:proofErr w:type="spellEnd"/>
      <w:r w:rsidR="006841B6" w:rsidRPr="00354CC3">
        <w:rPr>
          <w:rFonts w:asciiTheme="minorHAnsi" w:hAnsiTheme="minorHAnsi" w:cstheme="minorHAnsi"/>
          <w:sz w:val="22"/>
          <w:szCs w:val="22"/>
        </w:rPr>
        <w:t>, com seus atendimentos semanais totalizou em torno 105 horas</w:t>
      </w:r>
      <w:r w:rsidRPr="00354CC3">
        <w:rPr>
          <w:rFonts w:asciiTheme="minorHAnsi" w:hAnsiTheme="minorHAnsi" w:cstheme="minorHAnsi"/>
          <w:sz w:val="22"/>
          <w:szCs w:val="22"/>
        </w:rPr>
        <w:t xml:space="preserve"> de </w:t>
      </w:r>
      <w:proofErr w:type="spellStart"/>
      <w:r w:rsidRPr="00354CC3">
        <w:rPr>
          <w:rFonts w:asciiTheme="minorHAnsi" w:hAnsiTheme="minorHAnsi" w:cstheme="minorHAnsi"/>
          <w:sz w:val="22"/>
          <w:szCs w:val="22"/>
        </w:rPr>
        <w:t>mentorias</w:t>
      </w:r>
      <w:proofErr w:type="spellEnd"/>
      <w:r w:rsidR="00E25614" w:rsidRPr="00354CC3">
        <w:rPr>
          <w:rFonts w:asciiTheme="minorHAnsi" w:hAnsiTheme="minorHAnsi" w:cstheme="minorHAnsi"/>
          <w:sz w:val="22"/>
          <w:szCs w:val="22"/>
        </w:rPr>
        <w:t xml:space="preserve">, divididas entre 16 startups. </w:t>
      </w:r>
    </w:p>
    <w:p w:rsidR="00D302B7" w:rsidRPr="00133A1C" w:rsidRDefault="00772D7E" w:rsidP="00692BA5">
      <w:pPr>
        <w:pStyle w:val="SemEspaamento"/>
        <w:spacing w:before="360" w:after="240"/>
        <w:jc w:val="both"/>
        <w:rPr>
          <w:rFonts w:asciiTheme="minorHAnsi" w:hAnsiTheme="minorHAnsi" w:cstheme="minorHAnsi"/>
          <w:b/>
          <w:sz w:val="22"/>
        </w:rPr>
      </w:pPr>
      <w:proofErr w:type="gramStart"/>
      <w:r w:rsidRPr="00133A1C">
        <w:rPr>
          <w:rFonts w:asciiTheme="minorHAnsi" w:hAnsiTheme="minorHAnsi" w:cstheme="minorHAnsi"/>
          <w:b/>
          <w:sz w:val="22"/>
        </w:rPr>
        <w:t>3</w:t>
      </w:r>
      <w:proofErr w:type="gramEnd"/>
      <w:r w:rsidRPr="00133A1C">
        <w:rPr>
          <w:rFonts w:asciiTheme="minorHAnsi" w:hAnsiTheme="minorHAnsi" w:cstheme="minorHAnsi"/>
          <w:b/>
          <w:sz w:val="22"/>
        </w:rPr>
        <w:t xml:space="preserve"> Atividades Operacionais - Realizações e números</w:t>
      </w:r>
      <w:r w:rsidR="00B879A7" w:rsidRPr="00133A1C">
        <w:rPr>
          <w:rFonts w:asciiTheme="minorHAnsi" w:hAnsiTheme="minorHAnsi" w:cstheme="minorHAnsi"/>
          <w:b/>
          <w:sz w:val="22"/>
        </w:rPr>
        <w:t xml:space="preserve"> 2021</w:t>
      </w:r>
    </w:p>
    <w:p w:rsidR="00D302B7" w:rsidRPr="00133A1C" w:rsidRDefault="00772D7E" w:rsidP="00CB3E89">
      <w:pPr>
        <w:spacing w:after="120"/>
        <w:jc w:val="both"/>
        <w:rPr>
          <w:rFonts w:asciiTheme="minorHAnsi" w:hAnsiTheme="minorHAnsi" w:cstheme="minorHAnsi"/>
          <w:b/>
          <w:sz w:val="22"/>
          <w:szCs w:val="22"/>
        </w:rPr>
      </w:pPr>
      <w:proofErr w:type="gramStart"/>
      <w:r w:rsidRPr="00133A1C">
        <w:rPr>
          <w:rFonts w:asciiTheme="minorHAnsi" w:hAnsiTheme="minorHAnsi" w:cstheme="minorHAnsi"/>
          <w:b/>
          <w:sz w:val="22"/>
          <w:szCs w:val="22"/>
        </w:rPr>
        <w:t>VI</w:t>
      </w:r>
      <w:r w:rsidR="00D302B7" w:rsidRPr="00133A1C">
        <w:rPr>
          <w:rFonts w:asciiTheme="minorHAnsi" w:hAnsiTheme="minorHAnsi" w:cstheme="minorHAnsi"/>
          <w:b/>
          <w:sz w:val="22"/>
          <w:szCs w:val="22"/>
        </w:rPr>
        <w:t>)</w:t>
      </w:r>
      <w:proofErr w:type="gramEnd"/>
      <w:r w:rsidR="00D302B7" w:rsidRPr="00133A1C">
        <w:rPr>
          <w:rFonts w:asciiTheme="minorHAnsi" w:hAnsiTheme="minorHAnsi" w:cstheme="minorHAnsi"/>
          <w:b/>
          <w:sz w:val="22"/>
          <w:szCs w:val="22"/>
        </w:rPr>
        <w:t xml:space="preserve"> Comunicação</w:t>
      </w:r>
      <w:r w:rsidR="00214F73" w:rsidRPr="00133A1C">
        <w:rPr>
          <w:rFonts w:asciiTheme="minorHAnsi" w:hAnsiTheme="minorHAnsi" w:cstheme="minorHAnsi"/>
          <w:b/>
          <w:sz w:val="22"/>
          <w:szCs w:val="22"/>
        </w:rPr>
        <w:t xml:space="preserve">, Pareceres Técnicos </w:t>
      </w:r>
    </w:p>
    <w:p w:rsidR="00D302B7" w:rsidRPr="00133A1C" w:rsidRDefault="00B5475E" w:rsidP="00133A1C">
      <w:pPr>
        <w:jc w:val="both"/>
        <w:rPr>
          <w:rFonts w:asciiTheme="minorHAnsi" w:hAnsiTheme="minorHAnsi" w:cstheme="minorHAnsi"/>
          <w:sz w:val="22"/>
          <w:szCs w:val="22"/>
        </w:rPr>
      </w:pPr>
      <w:r w:rsidRPr="00133A1C">
        <w:rPr>
          <w:rFonts w:asciiTheme="minorHAnsi" w:hAnsiTheme="minorHAnsi" w:cstheme="minorHAnsi"/>
          <w:sz w:val="22"/>
          <w:szCs w:val="22"/>
        </w:rPr>
        <w:t xml:space="preserve">Além de </w:t>
      </w:r>
      <w:proofErr w:type="spellStart"/>
      <w:r w:rsidRPr="00133A1C">
        <w:rPr>
          <w:rFonts w:asciiTheme="minorHAnsi" w:hAnsiTheme="minorHAnsi" w:cstheme="minorHAnsi"/>
          <w:sz w:val="22"/>
          <w:szCs w:val="22"/>
        </w:rPr>
        <w:t>lives</w:t>
      </w:r>
      <w:proofErr w:type="spellEnd"/>
      <w:r w:rsidRPr="00133A1C">
        <w:rPr>
          <w:rFonts w:asciiTheme="minorHAnsi" w:hAnsiTheme="minorHAnsi" w:cstheme="minorHAnsi"/>
          <w:sz w:val="22"/>
          <w:szCs w:val="22"/>
        </w:rPr>
        <w:t xml:space="preserve">, divulgação de startups participantes do ciclo de </w:t>
      </w:r>
      <w:proofErr w:type="spellStart"/>
      <w:r w:rsidRPr="00133A1C">
        <w:rPr>
          <w:rFonts w:asciiTheme="minorHAnsi" w:hAnsiTheme="minorHAnsi" w:cstheme="minorHAnsi"/>
          <w:sz w:val="22"/>
          <w:szCs w:val="22"/>
        </w:rPr>
        <w:t>mentorias</w:t>
      </w:r>
      <w:proofErr w:type="spellEnd"/>
      <w:r w:rsidR="00E25614" w:rsidRPr="00133A1C">
        <w:rPr>
          <w:rFonts w:asciiTheme="minorHAnsi" w:hAnsiTheme="minorHAnsi" w:cstheme="minorHAnsi"/>
          <w:sz w:val="22"/>
          <w:szCs w:val="22"/>
        </w:rPr>
        <w:t xml:space="preserve"> e</w:t>
      </w:r>
      <w:r w:rsidRPr="00133A1C">
        <w:rPr>
          <w:rFonts w:asciiTheme="minorHAnsi" w:hAnsiTheme="minorHAnsi" w:cstheme="minorHAnsi"/>
          <w:sz w:val="22"/>
          <w:szCs w:val="22"/>
        </w:rPr>
        <w:t xml:space="preserve"> de ações de inovação, f</w:t>
      </w:r>
      <w:r w:rsidR="00D302B7" w:rsidRPr="00133A1C">
        <w:rPr>
          <w:rFonts w:asciiTheme="minorHAnsi" w:hAnsiTheme="minorHAnsi" w:cstheme="minorHAnsi"/>
          <w:sz w:val="22"/>
          <w:szCs w:val="22"/>
        </w:rPr>
        <w:t>oi lançada, em todas as plataformas</w:t>
      </w:r>
      <w:r w:rsidRPr="00133A1C">
        <w:rPr>
          <w:rFonts w:asciiTheme="minorHAnsi" w:hAnsiTheme="minorHAnsi" w:cstheme="minorHAnsi"/>
          <w:sz w:val="22"/>
          <w:szCs w:val="22"/>
        </w:rPr>
        <w:t xml:space="preserve"> de mídias sociais e página da SINOVA</w:t>
      </w:r>
      <w:r w:rsidR="00D302B7" w:rsidRPr="00133A1C">
        <w:rPr>
          <w:rFonts w:asciiTheme="minorHAnsi" w:hAnsiTheme="minorHAnsi" w:cstheme="minorHAnsi"/>
          <w:sz w:val="22"/>
          <w:szCs w:val="22"/>
        </w:rPr>
        <w:t xml:space="preserve">, </w:t>
      </w:r>
      <w:r w:rsidRPr="00133A1C">
        <w:rPr>
          <w:rFonts w:asciiTheme="minorHAnsi" w:hAnsiTheme="minorHAnsi" w:cstheme="minorHAnsi"/>
          <w:sz w:val="22"/>
          <w:szCs w:val="22"/>
        </w:rPr>
        <w:t>a</w:t>
      </w:r>
      <w:r w:rsidR="00D302B7" w:rsidRPr="00133A1C">
        <w:rPr>
          <w:rFonts w:asciiTheme="minorHAnsi" w:hAnsiTheme="minorHAnsi" w:cstheme="minorHAnsi"/>
          <w:sz w:val="22"/>
          <w:szCs w:val="22"/>
        </w:rPr>
        <w:t xml:space="preserve"> série de vídeos int</w:t>
      </w:r>
      <w:r w:rsidRPr="00133A1C">
        <w:rPr>
          <w:rFonts w:asciiTheme="minorHAnsi" w:hAnsiTheme="minorHAnsi" w:cstheme="minorHAnsi"/>
          <w:sz w:val="22"/>
          <w:szCs w:val="22"/>
        </w:rPr>
        <w:t>it</w:t>
      </w:r>
      <w:r w:rsidR="00D302B7" w:rsidRPr="00133A1C">
        <w:rPr>
          <w:rFonts w:asciiTheme="minorHAnsi" w:hAnsiTheme="minorHAnsi" w:cstheme="minorHAnsi"/>
          <w:sz w:val="22"/>
          <w:szCs w:val="22"/>
        </w:rPr>
        <w:t xml:space="preserve">ulada </w:t>
      </w:r>
      <w:r w:rsidR="00D302B7" w:rsidRPr="00133A1C">
        <w:rPr>
          <w:rFonts w:asciiTheme="minorHAnsi" w:hAnsiTheme="minorHAnsi" w:cstheme="minorHAnsi"/>
          <w:i/>
          <w:sz w:val="22"/>
          <w:szCs w:val="22"/>
        </w:rPr>
        <w:t>"O que eu preciso saber para realizar projetos em parceria com empresas, Governo e/ou instituições externas à UFSC</w:t>
      </w:r>
      <w:r w:rsidR="00D302B7" w:rsidRPr="00133A1C">
        <w:rPr>
          <w:rFonts w:asciiTheme="minorHAnsi" w:hAnsiTheme="minorHAnsi" w:cstheme="minorHAnsi"/>
          <w:sz w:val="22"/>
          <w:szCs w:val="22"/>
        </w:rPr>
        <w:t xml:space="preserve">”. </w:t>
      </w:r>
      <w:r w:rsidRPr="00133A1C">
        <w:rPr>
          <w:rFonts w:asciiTheme="minorHAnsi" w:hAnsiTheme="minorHAnsi" w:cstheme="minorHAnsi"/>
          <w:sz w:val="22"/>
          <w:szCs w:val="22"/>
        </w:rPr>
        <w:t xml:space="preserve">Foram </w:t>
      </w:r>
      <w:r w:rsidR="00E25614" w:rsidRPr="00133A1C">
        <w:rPr>
          <w:rFonts w:asciiTheme="minorHAnsi" w:hAnsiTheme="minorHAnsi" w:cstheme="minorHAnsi"/>
          <w:sz w:val="22"/>
          <w:szCs w:val="22"/>
        </w:rPr>
        <w:t xml:space="preserve">realizadas também </w:t>
      </w:r>
      <w:r w:rsidR="00D302B7" w:rsidRPr="00133A1C">
        <w:rPr>
          <w:rFonts w:asciiTheme="minorHAnsi" w:hAnsiTheme="minorHAnsi" w:cstheme="minorHAnsi"/>
          <w:sz w:val="22"/>
          <w:szCs w:val="22"/>
        </w:rPr>
        <w:t xml:space="preserve">estratégias </w:t>
      </w:r>
      <w:r w:rsidR="00E25614" w:rsidRPr="00133A1C">
        <w:rPr>
          <w:rFonts w:asciiTheme="minorHAnsi" w:hAnsiTheme="minorHAnsi" w:cstheme="minorHAnsi"/>
          <w:sz w:val="22"/>
          <w:szCs w:val="22"/>
        </w:rPr>
        <w:t xml:space="preserve">e ações </w:t>
      </w:r>
      <w:r w:rsidR="00D302B7" w:rsidRPr="00133A1C">
        <w:rPr>
          <w:rFonts w:asciiTheme="minorHAnsi" w:hAnsiTheme="minorHAnsi" w:cstheme="minorHAnsi"/>
          <w:sz w:val="22"/>
          <w:szCs w:val="22"/>
        </w:rPr>
        <w:t xml:space="preserve">para engajamento </w:t>
      </w:r>
      <w:r w:rsidR="00E25614" w:rsidRPr="00133A1C">
        <w:rPr>
          <w:rFonts w:asciiTheme="minorHAnsi" w:hAnsiTheme="minorHAnsi" w:cstheme="minorHAnsi"/>
          <w:sz w:val="22"/>
          <w:szCs w:val="22"/>
        </w:rPr>
        <w:t>e divulgação da</w:t>
      </w:r>
      <w:r w:rsidR="00D302B7" w:rsidRPr="00133A1C">
        <w:rPr>
          <w:rFonts w:asciiTheme="minorHAnsi" w:hAnsiTheme="minorHAnsi" w:cstheme="minorHAnsi"/>
          <w:sz w:val="22"/>
          <w:szCs w:val="22"/>
        </w:rPr>
        <w:t xml:space="preserve"> consulta pública da “Política de Inovação e Empreendedorismo UFSC”. Em comemoração aos 05 anos da SINOVA, </w:t>
      </w:r>
      <w:r w:rsidRPr="00133A1C">
        <w:rPr>
          <w:rFonts w:asciiTheme="minorHAnsi" w:hAnsiTheme="minorHAnsi" w:cstheme="minorHAnsi"/>
          <w:sz w:val="22"/>
          <w:szCs w:val="22"/>
        </w:rPr>
        <w:t xml:space="preserve">criou-se </w:t>
      </w:r>
      <w:r w:rsidR="00E25614" w:rsidRPr="00133A1C">
        <w:rPr>
          <w:rFonts w:asciiTheme="minorHAnsi" w:hAnsiTheme="minorHAnsi" w:cstheme="minorHAnsi"/>
          <w:sz w:val="22"/>
          <w:szCs w:val="22"/>
        </w:rPr>
        <w:t>uma</w:t>
      </w:r>
      <w:r w:rsidR="00D302B7" w:rsidRPr="00133A1C">
        <w:rPr>
          <w:rFonts w:asciiTheme="minorHAnsi" w:hAnsiTheme="minorHAnsi" w:cstheme="minorHAnsi"/>
          <w:sz w:val="22"/>
          <w:szCs w:val="22"/>
        </w:rPr>
        <w:t xml:space="preserve"> ret</w:t>
      </w:r>
      <w:r w:rsidRPr="00133A1C">
        <w:rPr>
          <w:rFonts w:asciiTheme="minorHAnsi" w:hAnsiTheme="minorHAnsi" w:cstheme="minorHAnsi"/>
          <w:sz w:val="22"/>
          <w:szCs w:val="22"/>
        </w:rPr>
        <w:t xml:space="preserve">rospectiva da inovação na UFSC </w:t>
      </w:r>
      <w:r w:rsidR="00E25614" w:rsidRPr="00133A1C">
        <w:rPr>
          <w:rFonts w:asciiTheme="minorHAnsi" w:hAnsiTheme="minorHAnsi" w:cstheme="minorHAnsi"/>
          <w:sz w:val="22"/>
          <w:szCs w:val="22"/>
        </w:rPr>
        <w:t xml:space="preserve">com </w:t>
      </w:r>
      <w:r w:rsidR="00D302B7" w:rsidRPr="00133A1C">
        <w:rPr>
          <w:rFonts w:asciiTheme="minorHAnsi" w:hAnsiTheme="minorHAnsi" w:cstheme="minorHAnsi"/>
          <w:sz w:val="22"/>
          <w:szCs w:val="22"/>
        </w:rPr>
        <w:t>a galeria com ex-diretores e secretários.</w:t>
      </w:r>
    </w:p>
    <w:p w:rsidR="00692BA5" w:rsidRDefault="00B5475E" w:rsidP="00276BD1">
      <w:pPr>
        <w:pStyle w:val="SemEspaamento"/>
        <w:jc w:val="both"/>
        <w:rPr>
          <w:rStyle w:val="nfase"/>
          <w:rFonts w:asciiTheme="minorHAnsi" w:hAnsiTheme="minorHAnsi" w:cstheme="minorHAnsi"/>
          <w:i w:val="0"/>
          <w:sz w:val="22"/>
          <w:szCs w:val="24"/>
        </w:rPr>
      </w:pPr>
      <w:r w:rsidRPr="00133A1C">
        <w:rPr>
          <w:rStyle w:val="nfase"/>
          <w:rFonts w:asciiTheme="minorHAnsi" w:hAnsiTheme="minorHAnsi" w:cstheme="minorHAnsi"/>
          <w:i w:val="0"/>
          <w:sz w:val="22"/>
        </w:rPr>
        <w:t>Os</w:t>
      </w:r>
      <w:r w:rsidR="00214F73" w:rsidRPr="00133A1C">
        <w:rPr>
          <w:rStyle w:val="nfase"/>
          <w:rFonts w:asciiTheme="minorHAnsi" w:hAnsiTheme="minorHAnsi" w:cstheme="minorHAnsi"/>
          <w:i w:val="0"/>
          <w:sz w:val="22"/>
        </w:rPr>
        <w:t xml:space="preserve"> Pareceres Técnicos</w:t>
      </w:r>
      <w:r w:rsidR="00D302B7" w:rsidRPr="00133A1C">
        <w:rPr>
          <w:rStyle w:val="nfase"/>
          <w:rFonts w:asciiTheme="minorHAnsi" w:hAnsiTheme="minorHAnsi" w:cstheme="minorHAnsi"/>
          <w:i w:val="0"/>
          <w:sz w:val="22"/>
        </w:rPr>
        <w:t xml:space="preserve"> </w:t>
      </w:r>
      <w:r w:rsidRPr="00133A1C">
        <w:rPr>
          <w:rStyle w:val="nfase"/>
          <w:rFonts w:asciiTheme="minorHAnsi" w:hAnsiTheme="minorHAnsi" w:cstheme="minorHAnsi"/>
          <w:i w:val="0"/>
          <w:sz w:val="22"/>
        </w:rPr>
        <w:t>totalizaram</w:t>
      </w:r>
      <w:r w:rsidR="00D302B7" w:rsidRPr="00133A1C">
        <w:rPr>
          <w:rStyle w:val="nfase"/>
          <w:rFonts w:asciiTheme="minorHAnsi" w:hAnsiTheme="minorHAnsi" w:cstheme="minorHAnsi"/>
          <w:i w:val="0"/>
          <w:sz w:val="22"/>
        </w:rPr>
        <w:t xml:space="preserve"> </w:t>
      </w:r>
      <w:r w:rsidRPr="00133A1C">
        <w:rPr>
          <w:rStyle w:val="nfase"/>
          <w:rFonts w:asciiTheme="minorHAnsi" w:hAnsiTheme="minorHAnsi" w:cstheme="minorHAnsi"/>
          <w:i w:val="0"/>
          <w:sz w:val="22"/>
        </w:rPr>
        <w:t>o número de 1</w:t>
      </w:r>
      <w:r w:rsidR="00276BD1">
        <w:rPr>
          <w:rStyle w:val="nfase"/>
          <w:rFonts w:asciiTheme="minorHAnsi" w:hAnsiTheme="minorHAnsi" w:cstheme="minorHAnsi"/>
          <w:i w:val="0"/>
          <w:sz w:val="22"/>
        </w:rPr>
        <w:t>68</w:t>
      </w:r>
      <w:r w:rsidRPr="00133A1C">
        <w:rPr>
          <w:rStyle w:val="nfase"/>
          <w:rFonts w:asciiTheme="minorHAnsi" w:hAnsiTheme="minorHAnsi" w:cstheme="minorHAnsi"/>
          <w:i w:val="0"/>
          <w:sz w:val="22"/>
        </w:rPr>
        <w:t>, abrangendo</w:t>
      </w:r>
      <w:r w:rsidR="00D302B7" w:rsidRPr="00133A1C">
        <w:rPr>
          <w:rStyle w:val="nfase"/>
          <w:rFonts w:asciiTheme="minorHAnsi" w:hAnsiTheme="minorHAnsi" w:cstheme="minorHAnsi"/>
          <w:i w:val="0"/>
          <w:sz w:val="22"/>
        </w:rPr>
        <w:t xml:space="preserve"> Contratos, Convênios, Acordos e Termos de Cooperação, Termos de Execução Descentralizada e outro</w:t>
      </w:r>
      <w:r w:rsidR="00214F73" w:rsidRPr="00133A1C">
        <w:rPr>
          <w:rStyle w:val="nfase"/>
          <w:rFonts w:asciiTheme="minorHAnsi" w:hAnsiTheme="minorHAnsi" w:cstheme="minorHAnsi"/>
          <w:i w:val="0"/>
          <w:sz w:val="22"/>
        </w:rPr>
        <w:t>s</w:t>
      </w:r>
      <w:r w:rsidR="00E25614" w:rsidRPr="00133A1C">
        <w:rPr>
          <w:rStyle w:val="nfase"/>
          <w:rFonts w:asciiTheme="minorHAnsi" w:hAnsiTheme="minorHAnsi" w:cstheme="minorHAnsi"/>
          <w:i w:val="0"/>
          <w:sz w:val="22"/>
        </w:rPr>
        <w:t>. Destaque para</w:t>
      </w:r>
      <w:r w:rsidR="00214F73" w:rsidRPr="00133A1C">
        <w:rPr>
          <w:rStyle w:val="nfase"/>
          <w:rFonts w:asciiTheme="minorHAnsi" w:hAnsiTheme="minorHAnsi" w:cstheme="minorHAnsi"/>
          <w:i w:val="0"/>
          <w:sz w:val="22"/>
        </w:rPr>
        <w:t xml:space="preserve"> parcerias de pesquisa (47%), seguido da extensão (2</w:t>
      </w:r>
      <w:r w:rsidR="00276BD1">
        <w:rPr>
          <w:rStyle w:val="nfase"/>
          <w:rFonts w:asciiTheme="minorHAnsi" w:hAnsiTheme="minorHAnsi" w:cstheme="minorHAnsi"/>
          <w:i w:val="0"/>
          <w:sz w:val="22"/>
        </w:rPr>
        <w:t>4</w:t>
      </w:r>
      <w:r w:rsidR="00214F73" w:rsidRPr="00133A1C">
        <w:rPr>
          <w:rStyle w:val="nfase"/>
          <w:rFonts w:asciiTheme="minorHAnsi" w:hAnsiTheme="minorHAnsi" w:cstheme="minorHAnsi"/>
          <w:i w:val="0"/>
          <w:sz w:val="22"/>
        </w:rPr>
        <w:t>%).</w:t>
      </w:r>
    </w:p>
    <w:p w:rsidR="000153AA" w:rsidRDefault="000153AA">
      <w:pPr>
        <w:suppressAutoHyphens w:val="0"/>
        <w:rPr>
          <w:rStyle w:val="nfase"/>
          <w:rFonts w:asciiTheme="minorHAnsi" w:eastAsiaTheme="minorHAnsi" w:hAnsiTheme="minorHAnsi" w:cstheme="minorHAnsi"/>
          <w:i w:val="0"/>
          <w:sz w:val="22"/>
          <w:szCs w:val="24"/>
          <w:lang w:eastAsia="en-US"/>
        </w:rPr>
      </w:pPr>
      <w:r>
        <w:rPr>
          <w:rStyle w:val="nfase"/>
          <w:rFonts w:asciiTheme="minorHAnsi" w:hAnsiTheme="minorHAnsi" w:cstheme="minorHAnsi"/>
          <w:i w:val="0"/>
          <w:sz w:val="22"/>
          <w:szCs w:val="24"/>
        </w:rPr>
        <w:br w:type="page"/>
      </w:r>
    </w:p>
    <w:p w:rsidR="00276BD1" w:rsidRPr="00E25614" w:rsidRDefault="00276BD1" w:rsidP="00276BD1">
      <w:pPr>
        <w:pStyle w:val="SemEspaamento"/>
        <w:tabs>
          <w:tab w:val="left" w:pos="2410"/>
        </w:tabs>
        <w:spacing w:before="240" w:after="120"/>
        <w:jc w:val="center"/>
        <w:rPr>
          <w:rFonts w:asciiTheme="minorHAnsi" w:hAnsiTheme="minorHAnsi" w:cstheme="minorHAnsi"/>
          <w:i/>
          <w:iCs/>
          <w:sz w:val="22"/>
          <w:szCs w:val="24"/>
        </w:rPr>
      </w:pPr>
      <w:r w:rsidRPr="00E25614">
        <w:rPr>
          <w:rStyle w:val="nfase"/>
          <w:rFonts w:asciiTheme="minorHAnsi" w:hAnsiTheme="minorHAnsi" w:cstheme="minorHAnsi"/>
          <w:i w:val="0"/>
          <w:sz w:val="22"/>
          <w:szCs w:val="24"/>
        </w:rPr>
        <w:lastRenderedPageBreak/>
        <w:t>Pareceres por instrumento jurídico</w:t>
      </w:r>
    </w:p>
    <w:tbl>
      <w:tblPr>
        <w:tblStyle w:val="Tabelacomgrade"/>
        <w:tblW w:w="0" w:type="auto"/>
        <w:tblLayout w:type="fixed"/>
        <w:tblLook w:val="04A0" w:firstRow="1" w:lastRow="0" w:firstColumn="1" w:lastColumn="0" w:noHBand="0" w:noVBand="1"/>
      </w:tblPr>
      <w:tblGrid>
        <w:gridCol w:w="5211"/>
        <w:gridCol w:w="4253"/>
      </w:tblGrid>
      <w:tr w:rsidR="00276BD1" w:rsidTr="00B27925">
        <w:trPr>
          <w:trHeight w:val="2962"/>
        </w:trPr>
        <w:tc>
          <w:tcPr>
            <w:tcW w:w="5211" w:type="dxa"/>
          </w:tcPr>
          <w:tbl>
            <w:tblPr>
              <w:tblW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9"/>
              <w:gridCol w:w="592"/>
              <w:gridCol w:w="592"/>
              <w:gridCol w:w="592"/>
              <w:gridCol w:w="592"/>
              <w:gridCol w:w="592"/>
            </w:tblGrid>
            <w:tr w:rsidR="00276BD1" w:rsidRPr="00BA35FA" w:rsidTr="00387E1D">
              <w:trPr>
                <w:trHeight w:val="112"/>
              </w:trPr>
              <w:tc>
                <w:tcPr>
                  <w:tcW w:w="1999" w:type="dxa"/>
                  <w:shd w:val="clear" w:color="auto" w:fill="00B0F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Assunto Padrão / Ano</w:t>
                  </w:r>
                </w:p>
              </w:tc>
              <w:tc>
                <w:tcPr>
                  <w:tcW w:w="592" w:type="dxa"/>
                  <w:shd w:val="clear" w:color="auto" w:fill="00B0F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2017</w:t>
                  </w:r>
                </w:p>
              </w:tc>
              <w:tc>
                <w:tcPr>
                  <w:tcW w:w="592" w:type="dxa"/>
                  <w:shd w:val="clear" w:color="auto" w:fill="00B0F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2018</w:t>
                  </w:r>
                </w:p>
              </w:tc>
              <w:tc>
                <w:tcPr>
                  <w:tcW w:w="592" w:type="dxa"/>
                  <w:shd w:val="clear" w:color="auto" w:fill="00B0F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2019</w:t>
                  </w:r>
                </w:p>
              </w:tc>
              <w:tc>
                <w:tcPr>
                  <w:tcW w:w="592" w:type="dxa"/>
                  <w:shd w:val="clear" w:color="auto" w:fill="00B0F0"/>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2020</w:t>
                  </w:r>
                </w:p>
              </w:tc>
              <w:tc>
                <w:tcPr>
                  <w:tcW w:w="592" w:type="dxa"/>
                  <w:shd w:val="clear" w:color="auto" w:fill="00B0F0"/>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2021</w:t>
                  </w:r>
                </w:p>
              </w:tc>
            </w:tr>
            <w:tr w:rsidR="00276BD1" w:rsidRPr="00BA35FA" w:rsidTr="00387E1D">
              <w:trPr>
                <w:trHeight w:val="97"/>
              </w:trPr>
              <w:tc>
                <w:tcPr>
                  <w:tcW w:w="1999" w:type="dxa"/>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Contrato</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3</w:t>
                  </w:r>
                  <w:proofErr w:type="gramEnd"/>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9</w:t>
                  </w:r>
                  <w:proofErr w:type="gramEnd"/>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17</w:t>
                  </w:r>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5</w:t>
                  </w:r>
                  <w:proofErr w:type="gramEnd"/>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12</w:t>
                  </w:r>
                </w:p>
              </w:tc>
            </w:tr>
            <w:tr w:rsidR="00276BD1" w:rsidRPr="00BA35FA" w:rsidTr="00387E1D">
              <w:trPr>
                <w:trHeight w:val="97"/>
              </w:trPr>
              <w:tc>
                <w:tcPr>
                  <w:tcW w:w="1999" w:type="dxa"/>
                  <w:shd w:val="clear" w:color="auto" w:fill="F2F2F2"/>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Contrato Fundacional</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45</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55</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39</w:t>
                  </w:r>
                </w:p>
              </w:tc>
              <w:tc>
                <w:tcPr>
                  <w:tcW w:w="592" w:type="dxa"/>
                  <w:shd w:val="clear" w:color="auto" w:fill="F2F2F2"/>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68</w:t>
                  </w:r>
                </w:p>
              </w:tc>
              <w:tc>
                <w:tcPr>
                  <w:tcW w:w="592" w:type="dxa"/>
                  <w:shd w:val="clear" w:color="auto" w:fill="F2F2F2"/>
                  <w:hideMark/>
                </w:tcPr>
                <w:p w:rsidR="00276BD1" w:rsidRPr="00BA35FA" w:rsidRDefault="00276BD1" w:rsidP="00387E1D">
                  <w:pPr>
                    <w:spacing w:line="276" w:lineRule="auto"/>
                    <w:jc w:val="center"/>
                    <w:rPr>
                      <w:rFonts w:asciiTheme="minorHAnsi" w:hAnsiTheme="minorHAnsi" w:cstheme="minorHAnsi"/>
                      <w:sz w:val="18"/>
                      <w:szCs w:val="18"/>
                    </w:rPr>
                  </w:pPr>
                  <w:r>
                    <w:rPr>
                      <w:rFonts w:asciiTheme="minorHAnsi" w:hAnsiTheme="minorHAnsi" w:cstheme="minorHAnsi"/>
                      <w:sz w:val="18"/>
                      <w:szCs w:val="18"/>
                    </w:rPr>
                    <w:t>46</w:t>
                  </w:r>
                </w:p>
              </w:tc>
            </w:tr>
            <w:tr w:rsidR="00276BD1" w:rsidRPr="00BA35FA" w:rsidTr="00387E1D">
              <w:trPr>
                <w:trHeight w:val="97"/>
              </w:trPr>
              <w:tc>
                <w:tcPr>
                  <w:tcW w:w="1999" w:type="dxa"/>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Convênio</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38</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78</w:t>
                  </w:r>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43</w:t>
                  </w:r>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32</w:t>
                  </w:r>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r>
                    <w:rPr>
                      <w:rFonts w:asciiTheme="minorHAnsi" w:hAnsiTheme="minorHAnsi" w:cstheme="minorHAnsi"/>
                      <w:sz w:val="18"/>
                      <w:szCs w:val="18"/>
                    </w:rPr>
                    <w:t>38</w:t>
                  </w:r>
                </w:p>
              </w:tc>
            </w:tr>
            <w:tr w:rsidR="00276BD1" w:rsidRPr="00BA35FA" w:rsidTr="00387E1D">
              <w:trPr>
                <w:trHeight w:val="97"/>
              </w:trPr>
              <w:tc>
                <w:tcPr>
                  <w:tcW w:w="1999" w:type="dxa"/>
                  <w:shd w:val="clear" w:color="auto" w:fill="F2F2F2"/>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Acordo de Cooperação</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71</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138</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87</w:t>
                  </w:r>
                </w:p>
              </w:tc>
              <w:tc>
                <w:tcPr>
                  <w:tcW w:w="592" w:type="dxa"/>
                  <w:shd w:val="clear" w:color="auto" w:fill="F2F2F2"/>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35</w:t>
                  </w:r>
                </w:p>
              </w:tc>
              <w:tc>
                <w:tcPr>
                  <w:tcW w:w="592" w:type="dxa"/>
                  <w:shd w:val="clear" w:color="auto" w:fill="F2F2F2"/>
                  <w:hideMark/>
                </w:tcPr>
                <w:p w:rsidR="00276BD1" w:rsidRPr="00BA35FA" w:rsidRDefault="00276BD1" w:rsidP="00387E1D">
                  <w:pPr>
                    <w:spacing w:line="276" w:lineRule="auto"/>
                    <w:jc w:val="center"/>
                    <w:rPr>
                      <w:rFonts w:asciiTheme="minorHAnsi" w:hAnsiTheme="minorHAnsi" w:cstheme="minorHAnsi"/>
                      <w:sz w:val="18"/>
                      <w:szCs w:val="18"/>
                    </w:rPr>
                  </w:pPr>
                  <w:r>
                    <w:rPr>
                      <w:rFonts w:asciiTheme="minorHAnsi" w:hAnsiTheme="minorHAnsi" w:cstheme="minorHAnsi"/>
                      <w:sz w:val="18"/>
                      <w:szCs w:val="18"/>
                    </w:rPr>
                    <w:t>59</w:t>
                  </w:r>
                </w:p>
              </w:tc>
            </w:tr>
            <w:tr w:rsidR="00276BD1" w:rsidRPr="00BA35FA" w:rsidTr="00387E1D">
              <w:trPr>
                <w:trHeight w:val="97"/>
              </w:trPr>
              <w:tc>
                <w:tcPr>
                  <w:tcW w:w="1999" w:type="dxa"/>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Termo de Cooperação Técnica</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14</w:t>
                  </w: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Pr>
                      <w:rFonts w:asciiTheme="minorHAnsi" w:hAnsiTheme="minorHAnsi" w:cstheme="minorHAnsi"/>
                      <w:sz w:val="18"/>
                      <w:szCs w:val="18"/>
                    </w:rPr>
                    <w:t>9</w:t>
                  </w:r>
                  <w:proofErr w:type="gramEnd"/>
                </w:p>
              </w:tc>
            </w:tr>
            <w:tr w:rsidR="00276BD1" w:rsidRPr="00BA35FA" w:rsidTr="00387E1D">
              <w:trPr>
                <w:trHeight w:val="97"/>
              </w:trPr>
              <w:tc>
                <w:tcPr>
                  <w:tcW w:w="1999" w:type="dxa"/>
                  <w:shd w:val="clear" w:color="auto" w:fill="F2F2F2"/>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TED</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w:t>
                  </w:r>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5</w:t>
                  </w:r>
                  <w:proofErr w:type="gramEnd"/>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3</w:t>
                  </w:r>
                  <w:proofErr w:type="gramEnd"/>
                </w:p>
              </w:tc>
              <w:tc>
                <w:tcPr>
                  <w:tcW w:w="592" w:type="dxa"/>
                  <w:shd w:val="clear" w:color="auto" w:fill="F2F2F2"/>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1</w:t>
                  </w:r>
                  <w:proofErr w:type="gramEnd"/>
                </w:p>
              </w:tc>
            </w:tr>
            <w:tr w:rsidR="00276BD1" w:rsidRPr="00BA35FA" w:rsidTr="00387E1D">
              <w:trPr>
                <w:trHeight w:val="97"/>
              </w:trPr>
              <w:tc>
                <w:tcPr>
                  <w:tcW w:w="1999" w:type="dxa"/>
                  <w:vAlign w:val="center"/>
                  <w:hideMark/>
                </w:tcPr>
                <w:p w:rsidR="00276BD1" w:rsidRPr="00BA35FA" w:rsidRDefault="00276BD1" w:rsidP="00387E1D">
                  <w:pPr>
                    <w:spacing w:line="276" w:lineRule="auto"/>
                    <w:rPr>
                      <w:rFonts w:asciiTheme="minorHAnsi" w:hAnsiTheme="minorHAnsi" w:cstheme="minorHAnsi"/>
                      <w:sz w:val="18"/>
                      <w:szCs w:val="18"/>
                    </w:rPr>
                  </w:pPr>
                  <w:r w:rsidRPr="00BA35FA">
                    <w:rPr>
                      <w:rFonts w:asciiTheme="minorHAnsi" w:hAnsiTheme="minorHAnsi" w:cstheme="minorHAnsi"/>
                      <w:sz w:val="18"/>
                      <w:szCs w:val="18"/>
                    </w:rPr>
                    <w:t>Outros</w:t>
                  </w:r>
                </w:p>
              </w:tc>
              <w:tc>
                <w:tcPr>
                  <w:tcW w:w="592" w:type="dxa"/>
                  <w:vAlign w:val="center"/>
                </w:tcPr>
                <w:p w:rsidR="00276BD1" w:rsidRPr="00BA35FA" w:rsidRDefault="00276BD1" w:rsidP="00387E1D">
                  <w:pPr>
                    <w:spacing w:line="276" w:lineRule="auto"/>
                    <w:jc w:val="center"/>
                    <w:rPr>
                      <w:rFonts w:asciiTheme="minorHAnsi" w:hAnsiTheme="minorHAnsi" w:cstheme="minorHAnsi"/>
                      <w:sz w:val="18"/>
                      <w:szCs w:val="18"/>
                    </w:rPr>
                  </w:pPr>
                </w:p>
              </w:tc>
              <w:tc>
                <w:tcPr>
                  <w:tcW w:w="592" w:type="dxa"/>
                  <w:vAlign w:val="center"/>
                </w:tcPr>
                <w:p w:rsidR="00276BD1" w:rsidRPr="00BA35FA" w:rsidRDefault="00276BD1" w:rsidP="00387E1D">
                  <w:pPr>
                    <w:spacing w:line="276" w:lineRule="auto"/>
                    <w:jc w:val="center"/>
                    <w:rPr>
                      <w:rFonts w:asciiTheme="minorHAnsi" w:hAnsiTheme="minorHAnsi" w:cstheme="minorHAnsi"/>
                      <w:sz w:val="18"/>
                      <w:szCs w:val="18"/>
                    </w:rPr>
                  </w:pPr>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2</w:t>
                  </w:r>
                  <w:proofErr w:type="gramEnd"/>
                </w:p>
              </w:tc>
              <w:tc>
                <w:tcPr>
                  <w:tcW w:w="592" w:type="dxa"/>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1</w:t>
                  </w:r>
                  <w:proofErr w:type="gramEnd"/>
                </w:p>
              </w:tc>
              <w:tc>
                <w:tcPr>
                  <w:tcW w:w="592" w:type="dxa"/>
                  <w:vAlign w:val="center"/>
                  <w:hideMark/>
                </w:tcPr>
                <w:p w:rsidR="00276BD1" w:rsidRPr="00BA35FA" w:rsidRDefault="00276BD1" w:rsidP="00387E1D">
                  <w:pPr>
                    <w:spacing w:line="276" w:lineRule="auto"/>
                    <w:jc w:val="center"/>
                    <w:rPr>
                      <w:rFonts w:asciiTheme="minorHAnsi" w:hAnsiTheme="minorHAnsi" w:cstheme="minorHAnsi"/>
                      <w:sz w:val="18"/>
                      <w:szCs w:val="18"/>
                    </w:rPr>
                  </w:pPr>
                  <w:proofErr w:type="gramStart"/>
                  <w:r w:rsidRPr="00BA35FA">
                    <w:rPr>
                      <w:rFonts w:asciiTheme="minorHAnsi" w:hAnsiTheme="minorHAnsi" w:cstheme="minorHAnsi"/>
                      <w:sz w:val="18"/>
                      <w:szCs w:val="18"/>
                    </w:rPr>
                    <w:t>3</w:t>
                  </w:r>
                  <w:proofErr w:type="gramEnd"/>
                </w:p>
              </w:tc>
            </w:tr>
            <w:tr w:rsidR="00276BD1" w:rsidRPr="00BA35FA" w:rsidTr="00387E1D">
              <w:trPr>
                <w:trHeight w:val="63"/>
              </w:trPr>
              <w:tc>
                <w:tcPr>
                  <w:tcW w:w="1999" w:type="dxa"/>
                  <w:shd w:val="clear" w:color="auto" w:fill="0070C0"/>
                  <w:vAlign w:val="center"/>
                  <w:hideMark/>
                </w:tcPr>
                <w:p w:rsidR="00276BD1" w:rsidRPr="00BA35FA" w:rsidRDefault="00276BD1" w:rsidP="00387E1D">
                  <w:pPr>
                    <w:spacing w:line="276" w:lineRule="auto"/>
                    <w:jc w:val="center"/>
                    <w:rPr>
                      <w:rFonts w:asciiTheme="minorHAnsi" w:hAnsiTheme="minorHAnsi" w:cstheme="minorHAnsi"/>
                      <w:b/>
                      <w:bCs/>
                      <w:sz w:val="18"/>
                      <w:szCs w:val="18"/>
                    </w:rPr>
                  </w:pPr>
                  <w:r w:rsidRPr="00BA35FA">
                    <w:rPr>
                      <w:rFonts w:asciiTheme="minorHAnsi" w:hAnsiTheme="minorHAnsi" w:cstheme="minorHAnsi"/>
                      <w:b/>
                      <w:bCs/>
                      <w:sz w:val="18"/>
                      <w:szCs w:val="18"/>
                    </w:rPr>
                    <w:t xml:space="preserve">TOTAL </w:t>
                  </w:r>
                </w:p>
              </w:tc>
              <w:tc>
                <w:tcPr>
                  <w:tcW w:w="592" w:type="dxa"/>
                  <w:shd w:val="clear" w:color="auto" w:fill="0070C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157</w:t>
                  </w:r>
                </w:p>
              </w:tc>
              <w:tc>
                <w:tcPr>
                  <w:tcW w:w="592" w:type="dxa"/>
                  <w:shd w:val="clear" w:color="auto" w:fill="0070C0"/>
                  <w:vAlign w:val="center"/>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280</w:t>
                  </w:r>
                </w:p>
              </w:tc>
              <w:tc>
                <w:tcPr>
                  <w:tcW w:w="592" w:type="dxa"/>
                  <w:shd w:val="clear" w:color="auto" w:fill="0070C0"/>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193</w:t>
                  </w:r>
                </w:p>
              </w:tc>
              <w:tc>
                <w:tcPr>
                  <w:tcW w:w="592" w:type="dxa"/>
                  <w:shd w:val="clear" w:color="auto" w:fill="0070C0"/>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158</w:t>
                  </w:r>
                </w:p>
              </w:tc>
              <w:tc>
                <w:tcPr>
                  <w:tcW w:w="592" w:type="dxa"/>
                  <w:shd w:val="clear" w:color="auto" w:fill="0070C0"/>
                  <w:hideMark/>
                </w:tcPr>
                <w:p w:rsidR="00276BD1" w:rsidRPr="00BA35FA" w:rsidRDefault="00276BD1" w:rsidP="00387E1D">
                  <w:pPr>
                    <w:spacing w:line="276" w:lineRule="auto"/>
                    <w:jc w:val="center"/>
                    <w:rPr>
                      <w:rFonts w:asciiTheme="minorHAnsi" w:hAnsiTheme="minorHAnsi" w:cstheme="minorHAnsi"/>
                      <w:sz w:val="18"/>
                      <w:szCs w:val="18"/>
                    </w:rPr>
                  </w:pPr>
                  <w:r w:rsidRPr="00BA35FA">
                    <w:rPr>
                      <w:rFonts w:asciiTheme="minorHAnsi" w:hAnsiTheme="minorHAnsi" w:cstheme="minorHAnsi"/>
                      <w:sz w:val="18"/>
                      <w:szCs w:val="18"/>
                    </w:rPr>
                    <w:t>147</w:t>
                  </w:r>
                </w:p>
              </w:tc>
            </w:tr>
          </w:tbl>
          <w:p w:rsidR="00276BD1" w:rsidRDefault="00276BD1" w:rsidP="00387E1D"/>
        </w:tc>
        <w:tc>
          <w:tcPr>
            <w:tcW w:w="4253" w:type="dxa"/>
          </w:tcPr>
          <w:p w:rsidR="00B27925" w:rsidRPr="00692BA5" w:rsidRDefault="00B27925" w:rsidP="00387E1D">
            <w:pPr>
              <w:rPr>
                <w:sz w:val="8"/>
                <w:szCs w:val="8"/>
              </w:rPr>
            </w:pPr>
            <w:r>
              <w:rPr>
                <w:noProof/>
              </w:rPr>
              <w:drawing>
                <wp:inline distT="0" distB="0" distL="0" distR="0" wp14:anchorId="3C002337" wp14:editId="6C53BE08">
                  <wp:extent cx="2604615" cy="1889185"/>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08763" cy="1892193"/>
                          </a:xfrm>
                          <a:prstGeom prst="rect">
                            <a:avLst/>
                          </a:prstGeom>
                        </pic:spPr>
                      </pic:pic>
                    </a:graphicData>
                  </a:graphic>
                </wp:inline>
              </w:drawing>
            </w:r>
          </w:p>
        </w:tc>
      </w:tr>
    </w:tbl>
    <w:p w:rsidR="00276BD1" w:rsidRDefault="00276BD1" w:rsidP="00692BA5">
      <w:pPr>
        <w:pStyle w:val="Standard"/>
        <w:rPr>
          <w:rStyle w:val="nfase"/>
          <w:i w:val="0"/>
          <w:highlight w:val="yellow"/>
        </w:rPr>
      </w:pPr>
    </w:p>
    <w:p w:rsidR="00214F73" w:rsidRPr="00133A1C" w:rsidRDefault="00B5475E" w:rsidP="00CB3E89">
      <w:pPr>
        <w:pStyle w:val="Standard"/>
        <w:spacing w:after="120"/>
        <w:rPr>
          <w:iCs/>
          <w:sz w:val="22"/>
          <w:highlight w:val="yellow"/>
        </w:rPr>
      </w:pPr>
      <w:r w:rsidRPr="00133A1C">
        <w:rPr>
          <w:rFonts w:asciiTheme="minorHAnsi" w:hAnsiTheme="minorHAnsi" w:cstheme="minorHAnsi"/>
          <w:b/>
          <w:sz w:val="22"/>
        </w:rPr>
        <w:t>VII) Atendimento SINOVA</w:t>
      </w:r>
    </w:p>
    <w:p w:rsidR="00E25614" w:rsidRPr="00CB3E89" w:rsidRDefault="00D302B7" w:rsidP="00CB3E89">
      <w:pPr>
        <w:pStyle w:val="SemEspaamento"/>
        <w:spacing w:after="0"/>
        <w:jc w:val="both"/>
        <w:rPr>
          <w:rStyle w:val="nfase"/>
          <w:rFonts w:asciiTheme="minorHAnsi" w:hAnsiTheme="minorHAnsi" w:cstheme="minorHAnsi"/>
          <w:i w:val="0"/>
          <w:iCs w:val="0"/>
          <w:sz w:val="22"/>
          <w:szCs w:val="24"/>
        </w:rPr>
      </w:pPr>
      <w:r w:rsidRPr="00133A1C">
        <w:rPr>
          <w:rFonts w:asciiTheme="minorHAnsi" w:hAnsiTheme="minorHAnsi" w:cstheme="minorHAnsi"/>
          <w:sz w:val="22"/>
          <w:szCs w:val="24"/>
        </w:rPr>
        <w:t xml:space="preserve">Os atendimentos na SINOVA </w:t>
      </w:r>
      <w:r w:rsidR="0069769C" w:rsidRPr="00133A1C">
        <w:rPr>
          <w:rFonts w:asciiTheme="minorHAnsi" w:hAnsiTheme="minorHAnsi" w:cstheme="minorHAnsi"/>
          <w:sz w:val="22"/>
          <w:szCs w:val="24"/>
        </w:rPr>
        <w:t>são organizados</w:t>
      </w:r>
      <w:r w:rsidRPr="00133A1C">
        <w:rPr>
          <w:rFonts w:asciiTheme="minorHAnsi" w:hAnsiTheme="minorHAnsi" w:cstheme="minorHAnsi"/>
          <w:sz w:val="22"/>
          <w:szCs w:val="24"/>
        </w:rPr>
        <w:t xml:space="preserve"> por níveis: nível 01 (informacional), somando </w:t>
      </w:r>
      <w:r w:rsidR="000C3250" w:rsidRPr="00133A1C">
        <w:rPr>
          <w:rFonts w:asciiTheme="minorHAnsi" w:hAnsiTheme="minorHAnsi" w:cstheme="minorHAnsi"/>
          <w:sz w:val="22"/>
          <w:szCs w:val="24"/>
        </w:rPr>
        <w:t>2</w:t>
      </w:r>
      <w:r w:rsidR="000C3250">
        <w:rPr>
          <w:rFonts w:asciiTheme="minorHAnsi" w:hAnsiTheme="minorHAnsi" w:cstheme="minorHAnsi"/>
          <w:sz w:val="22"/>
          <w:szCs w:val="24"/>
        </w:rPr>
        <w:t>2,5</w:t>
      </w:r>
      <w:r w:rsidR="000C3250" w:rsidRPr="00133A1C">
        <w:rPr>
          <w:rFonts w:asciiTheme="minorHAnsi" w:hAnsiTheme="minorHAnsi" w:cstheme="minorHAnsi"/>
          <w:sz w:val="22"/>
          <w:szCs w:val="24"/>
        </w:rPr>
        <w:t>%</w:t>
      </w:r>
      <w:bookmarkStart w:id="0" w:name="_GoBack"/>
      <w:bookmarkEnd w:id="0"/>
      <w:r w:rsidRPr="00133A1C">
        <w:rPr>
          <w:rFonts w:asciiTheme="minorHAnsi" w:hAnsiTheme="minorHAnsi" w:cstheme="minorHAnsi"/>
          <w:sz w:val="22"/>
          <w:szCs w:val="24"/>
        </w:rPr>
        <w:t xml:space="preserve"> dos atendimentos, nível 02 (caso específico), </w:t>
      </w:r>
      <w:r w:rsidR="000C3250" w:rsidRPr="00133A1C">
        <w:rPr>
          <w:rFonts w:asciiTheme="minorHAnsi" w:hAnsiTheme="minorHAnsi" w:cstheme="minorHAnsi"/>
          <w:sz w:val="22"/>
          <w:szCs w:val="24"/>
        </w:rPr>
        <w:t>7</w:t>
      </w:r>
      <w:r w:rsidR="000C3250">
        <w:rPr>
          <w:rFonts w:asciiTheme="minorHAnsi" w:hAnsiTheme="minorHAnsi" w:cstheme="minorHAnsi"/>
          <w:sz w:val="22"/>
          <w:szCs w:val="24"/>
        </w:rPr>
        <w:t>3,6</w:t>
      </w:r>
      <w:r w:rsidR="000C3250" w:rsidRPr="00133A1C">
        <w:rPr>
          <w:rFonts w:asciiTheme="minorHAnsi" w:hAnsiTheme="minorHAnsi" w:cstheme="minorHAnsi"/>
          <w:sz w:val="22"/>
          <w:szCs w:val="24"/>
        </w:rPr>
        <w:t xml:space="preserve">% </w:t>
      </w:r>
      <w:r w:rsidRPr="00133A1C">
        <w:rPr>
          <w:rFonts w:asciiTheme="minorHAnsi" w:hAnsiTheme="minorHAnsi" w:cstheme="minorHAnsi"/>
          <w:sz w:val="22"/>
          <w:szCs w:val="24"/>
        </w:rPr>
        <w:t>dos atendimentos e nível 03 (decisório), com 3,9%. Em média, os atendimentos da SINOVA duram 1 hora.</w:t>
      </w:r>
      <w:r w:rsidR="0069769C" w:rsidRPr="00133A1C">
        <w:rPr>
          <w:rFonts w:asciiTheme="minorHAnsi" w:hAnsiTheme="minorHAnsi" w:cstheme="minorHAnsi"/>
          <w:sz w:val="22"/>
          <w:szCs w:val="24"/>
        </w:rPr>
        <w:t xml:space="preserve"> São também</w:t>
      </w:r>
      <w:r w:rsidRPr="00133A1C">
        <w:rPr>
          <w:rFonts w:asciiTheme="minorHAnsi" w:hAnsiTheme="minorHAnsi" w:cstheme="minorHAnsi"/>
          <w:sz w:val="22"/>
          <w:szCs w:val="24"/>
        </w:rPr>
        <w:t xml:space="preserve"> classificados por categorias</w:t>
      </w:r>
      <w:r w:rsidR="0069769C" w:rsidRPr="00133A1C">
        <w:rPr>
          <w:rFonts w:asciiTheme="minorHAnsi" w:hAnsiTheme="minorHAnsi" w:cstheme="minorHAnsi"/>
          <w:sz w:val="22"/>
          <w:szCs w:val="24"/>
        </w:rPr>
        <w:t>:</w:t>
      </w:r>
      <w:r w:rsidRPr="00133A1C">
        <w:rPr>
          <w:rFonts w:asciiTheme="minorHAnsi" w:hAnsiTheme="minorHAnsi" w:cstheme="minorHAnsi"/>
          <w:sz w:val="22"/>
          <w:szCs w:val="24"/>
        </w:rPr>
        <w:t xml:space="preserve"> atendimento interno (55%), empreendedorismo e startups/spin-</w:t>
      </w:r>
      <w:proofErr w:type="spellStart"/>
      <w:r w:rsidRPr="00133A1C">
        <w:rPr>
          <w:rFonts w:asciiTheme="minorHAnsi" w:hAnsiTheme="minorHAnsi" w:cstheme="minorHAnsi"/>
          <w:sz w:val="22"/>
          <w:szCs w:val="24"/>
        </w:rPr>
        <w:t>offs</w:t>
      </w:r>
      <w:proofErr w:type="spellEnd"/>
      <w:r w:rsidRPr="00133A1C">
        <w:rPr>
          <w:rFonts w:asciiTheme="minorHAnsi" w:hAnsiTheme="minorHAnsi" w:cstheme="minorHAnsi"/>
          <w:sz w:val="22"/>
          <w:szCs w:val="24"/>
        </w:rPr>
        <w:t xml:space="preserve"> (2</w:t>
      </w:r>
      <w:r w:rsidR="00B27925">
        <w:rPr>
          <w:rFonts w:asciiTheme="minorHAnsi" w:hAnsiTheme="minorHAnsi" w:cstheme="minorHAnsi"/>
          <w:sz w:val="22"/>
          <w:szCs w:val="24"/>
        </w:rPr>
        <w:t>3</w:t>
      </w:r>
      <w:r w:rsidRPr="00133A1C">
        <w:rPr>
          <w:rFonts w:asciiTheme="minorHAnsi" w:hAnsiTheme="minorHAnsi" w:cstheme="minorHAnsi"/>
          <w:sz w:val="22"/>
          <w:szCs w:val="24"/>
        </w:rPr>
        <w:t>%), propriedade intelectual (</w:t>
      </w:r>
      <w:r w:rsidR="00B27925">
        <w:rPr>
          <w:rFonts w:asciiTheme="minorHAnsi" w:hAnsiTheme="minorHAnsi" w:cstheme="minorHAnsi"/>
          <w:sz w:val="22"/>
          <w:szCs w:val="24"/>
        </w:rPr>
        <w:t>8</w:t>
      </w:r>
      <w:r w:rsidRPr="00133A1C">
        <w:rPr>
          <w:rFonts w:asciiTheme="minorHAnsi" w:hAnsiTheme="minorHAnsi" w:cstheme="minorHAnsi"/>
          <w:sz w:val="22"/>
          <w:szCs w:val="24"/>
        </w:rPr>
        <w:t>%) e transferência de tecnologia (4%).</w:t>
      </w:r>
      <w:r w:rsidR="0069769C" w:rsidRPr="00133A1C">
        <w:rPr>
          <w:rFonts w:asciiTheme="minorHAnsi" w:hAnsiTheme="minorHAnsi" w:cstheme="minorHAnsi"/>
          <w:sz w:val="22"/>
          <w:szCs w:val="24"/>
        </w:rPr>
        <w:t xml:space="preserve"> Via </w:t>
      </w:r>
      <w:r w:rsidR="00B879A7" w:rsidRPr="00133A1C">
        <w:rPr>
          <w:rFonts w:asciiTheme="minorHAnsi" w:hAnsiTheme="minorHAnsi" w:cstheme="minorHAnsi"/>
          <w:sz w:val="22"/>
          <w:szCs w:val="24"/>
        </w:rPr>
        <w:t>atendimento virtual,</w:t>
      </w:r>
      <w:r w:rsidRPr="00133A1C">
        <w:rPr>
          <w:rFonts w:asciiTheme="minorHAnsi" w:hAnsiTheme="minorHAnsi" w:cstheme="minorHAnsi"/>
          <w:sz w:val="22"/>
          <w:szCs w:val="24"/>
        </w:rPr>
        <w:t xml:space="preserve"> foram solucionados </w:t>
      </w:r>
      <w:r w:rsidR="00B27925">
        <w:rPr>
          <w:rFonts w:asciiTheme="minorHAnsi" w:hAnsiTheme="minorHAnsi" w:cstheme="minorHAnsi"/>
          <w:sz w:val="22"/>
          <w:szCs w:val="24"/>
        </w:rPr>
        <w:t>3.193</w:t>
      </w:r>
      <w:r w:rsidRPr="00133A1C">
        <w:rPr>
          <w:rFonts w:asciiTheme="minorHAnsi" w:hAnsiTheme="minorHAnsi" w:cstheme="minorHAnsi"/>
          <w:sz w:val="22"/>
          <w:szCs w:val="24"/>
        </w:rPr>
        <w:t xml:space="preserve"> tickets, pelo Portal de Atendimento Institucional (PAI/UFSC).</w:t>
      </w:r>
    </w:p>
    <w:p w:rsidR="00D302B7" w:rsidRPr="00E25614" w:rsidRDefault="00E25614" w:rsidP="00CB3E89">
      <w:pPr>
        <w:pStyle w:val="SemEspaamento"/>
        <w:tabs>
          <w:tab w:val="left" w:pos="2410"/>
        </w:tabs>
        <w:spacing w:before="240" w:after="120"/>
        <w:jc w:val="center"/>
        <w:rPr>
          <w:rFonts w:asciiTheme="minorHAnsi" w:hAnsiTheme="minorHAnsi" w:cstheme="minorHAnsi"/>
          <w:i/>
          <w:iCs/>
          <w:sz w:val="22"/>
          <w:szCs w:val="24"/>
        </w:rPr>
      </w:pPr>
      <w:r>
        <w:rPr>
          <w:rStyle w:val="nfase"/>
          <w:rFonts w:asciiTheme="minorHAnsi" w:hAnsiTheme="minorHAnsi" w:cstheme="minorHAnsi"/>
          <w:i w:val="0"/>
          <w:sz w:val="22"/>
          <w:szCs w:val="24"/>
        </w:rPr>
        <w:t>Atendimento</w:t>
      </w:r>
      <w:r w:rsidR="00133A1C">
        <w:rPr>
          <w:rStyle w:val="nfase"/>
          <w:rFonts w:asciiTheme="minorHAnsi" w:hAnsiTheme="minorHAnsi" w:cstheme="minorHAnsi"/>
          <w:i w:val="0"/>
          <w:sz w:val="22"/>
          <w:szCs w:val="24"/>
        </w:rPr>
        <w:t>s</w:t>
      </w:r>
      <w:r>
        <w:rPr>
          <w:rStyle w:val="nfase"/>
          <w:rFonts w:asciiTheme="minorHAnsi" w:hAnsiTheme="minorHAnsi" w:cstheme="minorHAnsi"/>
          <w:i w:val="0"/>
          <w:sz w:val="22"/>
          <w:szCs w:val="24"/>
        </w:rPr>
        <w:t xml:space="preserve"> SINOVA</w:t>
      </w:r>
    </w:p>
    <w:p w:rsidR="00D302B7" w:rsidRDefault="00B879A7" w:rsidP="00D302B7">
      <w:pPr>
        <w:pStyle w:val="SemEspaamento"/>
        <w:jc w:val="center"/>
      </w:pPr>
      <w:r>
        <w:rPr>
          <w:noProof/>
          <w:lang w:eastAsia="pt-BR"/>
        </w:rPr>
        <w:drawing>
          <wp:inline distT="0" distB="0" distL="0" distR="0" wp14:anchorId="71533B4C" wp14:editId="2116D669">
            <wp:extent cx="5136543" cy="2003728"/>
            <wp:effectExtent l="0" t="0" r="26035" b="1587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7925" w:rsidRDefault="00B27925">
      <w:pPr>
        <w:pStyle w:val="SemEspaamento"/>
        <w:spacing w:after="0"/>
        <w:jc w:val="both"/>
        <w:rPr>
          <w:rFonts w:ascii="Calibri" w:hAnsi="Calibri" w:cs="Calibri"/>
          <w:b/>
          <w:sz w:val="22"/>
          <w:szCs w:val="24"/>
        </w:rPr>
      </w:pPr>
    </w:p>
    <w:p w:rsidR="00692BA5" w:rsidRPr="00CB3E89" w:rsidRDefault="00214F73" w:rsidP="00692BA5">
      <w:pPr>
        <w:pStyle w:val="Standard"/>
        <w:spacing w:after="120"/>
        <w:jc w:val="both"/>
        <w:rPr>
          <w:rFonts w:asciiTheme="minorHAnsi" w:hAnsiTheme="minorHAnsi" w:cstheme="minorHAnsi"/>
          <w:sz w:val="22"/>
          <w:szCs w:val="22"/>
        </w:rPr>
      </w:pPr>
      <w:proofErr w:type="gramStart"/>
      <w:r w:rsidRPr="00133A1C">
        <w:rPr>
          <w:rFonts w:ascii="Calibri" w:hAnsi="Calibri" w:cs="Calibri"/>
          <w:b/>
          <w:sz w:val="22"/>
        </w:rPr>
        <w:t>VI</w:t>
      </w:r>
      <w:r w:rsidR="00294D7D" w:rsidRPr="00133A1C">
        <w:rPr>
          <w:rFonts w:ascii="Calibri" w:hAnsi="Calibri" w:cs="Calibri"/>
          <w:b/>
          <w:sz w:val="22"/>
        </w:rPr>
        <w:t>I</w:t>
      </w:r>
      <w:r w:rsidR="00B879A7" w:rsidRPr="00133A1C">
        <w:rPr>
          <w:rFonts w:ascii="Calibri" w:hAnsi="Calibri" w:cs="Calibri"/>
          <w:b/>
          <w:sz w:val="22"/>
        </w:rPr>
        <w:t>I</w:t>
      </w:r>
      <w:r w:rsidR="00294D7D" w:rsidRPr="00133A1C">
        <w:rPr>
          <w:rFonts w:ascii="Calibri" w:hAnsi="Calibri" w:cs="Calibri"/>
          <w:b/>
          <w:sz w:val="22"/>
        </w:rPr>
        <w:t>)</w:t>
      </w:r>
      <w:proofErr w:type="gramEnd"/>
      <w:r w:rsidR="00294D7D" w:rsidRPr="00133A1C">
        <w:rPr>
          <w:rFonts w:ascii="Calibri" w:hAnsi="Calibri" w:cs="Calibri"/>
          <w:b/>
          <w:sz w:val="22"/>
        </w:rPr>
        <w:t xml:space="preserve"> </w:t>
      </w:r>
      <w:r w:rsidR="00692BA5" w:rsidRPr="00133A1C">
        <w:rPr>
          <w:rFonts w:asciiTheme="minorHAnsi" w:hAnsiTheme="minorHAnsi" w:cstheme="minorHAnsi"/>
          <w:b/>
          <w:sz w:val="22"/>
          <w:szCs w:val="22"/>
        </w:rPr>
        <w:t xml:space="preserve">Gestão do Licenciamento e Exploração de Ativos de Propriedade Intelectual </w:t>
      </w:r>
    </w:p>
    <w:p w:rsidR="00692BA5" w:rsidRPr="00133A1C" w:rsidRDefault="00692BA5" w:rsidP="00692BA5">
      <w:pPr>
        <w:jc w:val="both"/>
        <w:rPr>
          <w:rFonts w:asciiTheme="minorHAnsi" w:hAnsiTheme="minorHAnsi" w:cstheme="minorHAnsi"/>
          <w:sz w:val="22"/>
          <w:szCs w:val="22"/>
        </w:rPr>
      </w:pPr>
      <w:r w:rsidRPr="00133A1C">
        <w:rPr>
          <w:rFonts w:asciiTheme="minorHAnsi" w:hAnsiTheme="minorHAnsi" w:cstheme="minorHAnsi"/>
          <w:sz w:val="22"/>
          <w:szCs w:val="22"/>
        </w:rPr>
        <w:t xml:space="preserve">Foram realizados em torno de 100 atendimentos, dos quais 45 com instituições externas de ensino, pesquisa, empresas públicas e privadas, pesquisadores e comunidade acadêmica, para </w:t>
      </w:r>
      <w:proofErr w:type="gramStart"/>
      <w:r w:rsidRPr="00133A1C">
        <w:rPr>
          <w:rFonts w:asciiTheme="minorHAnsi" w:hAnsiTheme="minorHAnsi" w:cstheme="minorHAnsi"/>
          <w:sz w:val="22"/>
          <w:szCs w:val="22"/>
        </w:rPr>
        <w:t>regular contratos</w:t>
      </w:r>
      <w:proofErr w:type="gramEnd"/>
      <w:r w:rsidRPr="00133A1C">
        <w:rPr>
          <w:rFonts w:asciiTheme="minorHAnsi" w:hAnsiTheme="minorHAnsi" w:cstheme="minorHAnsi"/>
          <w:sz w:val="22"/>
          <w:szCs w:val="22"/>
        </w:rPr>
        <w:t xml:space="preserve"> de PI e questões de transferência de tecnologia. Destas negociações, resultaram 13 contratos de propriedade intelectual assinados com instituições nacionais e internacionais, 17 em fase final do processo para posterior assinatura e 20 em fase de negociação.</w:t>
      </w:r>
    </w:p>
    <w:p w:rsidR="00692BA5" w:rsidRPr="00133A1C" w:rsidRDefault="00692BA5" w:rsidP="00692BA5">
      <w:pPr>
        <w:jc w:val="both"/>
        <w:rPr>
          <w:rFonts w:asciiTheme="minorHAnsi" w:hAnsiTheme="minorHAnsi" w:cstheme="minorHAnsi"/>
          <w:sz w:val="22"/>
          <w:szCs w:val="22"/>
        </w:rPr>
      </w:pPr>
      <w:r w:rsidRPr="00133A1C">
        <w:rPr>
          <w:rFonts w:asciiTheme="minorHAnsi" w:hAnsiTheme="minorHAnsi" w:cstheme="minorHAnsi"/>
          <w:sz w:val="22"/>
          <w:szCs w:val="22"/>
        </w:rPr>
        <w:t>Destaque para o Edital de Oferta Tecnológica,</w:t>
      </w:r>
      <w:r>
        <w:rPr>
          <w:rFonts w:asciiTheme="minorHAnsi" w:hAnsiTheme="minorHAnsi" w:cstheme="minorHAnsi"/>
          <w:sz w:val="22"/>
          <w:szCs w:val="22"/>
        </w:rPr>
        <w:t xml:space="preserve"> onde</w:t>
      </w:r>
      <w:r w:rsidRPr="00133A1C">
        <w:rPr>
          <w:rFonts w:asciiTheme="minorHAnsi" w:hAnsiTheme="minorHAnsi" w:cstheme="minorHAnsi"/>
          <w:sz w:val="22"/>
          <w:szCs w:val="22"/>
        </w:rPr>
        <w:t xml:space="preserve"> foi concedida LICENÇA DE USO dos 25 (vinte e cinco) softwares de titularidade da Universidade que compõem a plataforma Sistema de Telemedicina e </w:t>
      </w:r>
      <w:proofErr w:type="spellStart"/>
      <w:r w:rsidRPr="00133A1C">
        <w:rPr>
          <w:rFonts w:asciiTheme="minorHAnsi" w:hAnsiTheme="minorHAnsi" w:cstheme="minorHAnsi"/>
          <w:sz w:val="22"/>
          <w:szCs w:val="22"/>
        </w:rPr>
        <w:t>Telessaúde</w:t>
      </w:r>
      <w:proofErr w:type="spellEnd"/>
      <w:r w:rsidRPr="00133A1C">
        <w:rPr>
          <w:rFonts w:asciiTheme="minorHAnsi" w:hAnsiTheme="minorHAnsi" w:cstheme="minorHAnsi"/>
          <w:sz w:val="22"/>
          <w:szCs w:val="22"/>
        </w:rPr>
        <w:t xml:space="preserve"> – STT para a Empresa Brasileira de Serviços Hospitalares (EBSERH).</w:t>
      </w:r>
    </w:p>
    <w:p w:rsidR="00692BA5" w:rsidRDefault="00692BA5" w:rsidP="00CB3E89">
      <w:pPr>
        <w:pStyle w:val="SemEspaamento"/>
        <w:spacing w:after="120"/>
        <w:jc w:val="both"/>
        <w:rPr>
          <w:rFonts w:ascii="Calibri" w:hAnsi="Calibri" w:cs="Calibri"/>
          <w:b/>
          <w:sz w:val="22"/>
          <w:szCs w:val="24"/>
        </w:rPr>
      </w:pPr>
    </w:p>
    <w:p w:rsidR="005559B0" w:rsidRPr="00133A1C" w:rsidRDefault="00692BA5" w:rsidP="00CB3E89">
      <w:pPr>
        <w:pStyle w:val="SemEspaamento"/>
        <w:spacing w:after="120"/>
        <w:jc w:val="both"/>
        <w:rPr>
          <w:sz w:val="22"/>
        </w:rPr>
      </w:pPr>
      <w:r>
        <w:rPr>
          <w:rFonts w:ascii="Calibri" w:hAnsi="Calibri" w:cs="Calibri"/>
          <w:b/>
          <w:sz w:val="22"/>
          <w:szCs w:val="24"/>
        </w:rPr>
        <w:t xml:space="preserve">IX) </w:t>
      </w:r>
      <w:r w:rsidR="00294D7D" w:rsidRPr="00133A1C">
        <w:rPr>
          <w:rFonts w:ascii="Calibri" w:hAnsi="Calibri" w:cs="Calibri"/>
          <w:b/>
          <w:sz w:val="22"/>
          <w:szCs w:val="24"/>
        </w:rPr>
        <w:t xml:space="preserve">Propriedade Intelectual </w:t>
      </w:r>
    </w:p>
    <w:p w:rsidR="00C10317" w:rsidRPr="00CB3E89" w:rsidRDefault="00C10317" w:rsidP="00C10317">
      <w:pPr>
        <w:pStyle w:val="Standard"/>
        <w:jc w:val="both"/>
        <w:rPr>
          <w:rFonts w:ascii="Calibri" w:hAnsi="Calibri" w:cs="Calibri"/>
          <w:sz w:val="22"/>
        </w:rPr>
      </w:pPr>
      <w:r w:rsidRPr="00133A1C">
        <w:rPr>
          <w:rFonts w:ascii="Calibri" w:hAnsi="Calibri" w:cs="Calibri"/>
          <w:sz w:val="22"/>
        </w:rPr>
        <w:t xml:space="preserve">A </w:t>
      </w:r>
      <w:r w:rsidRPr="00133A1C">
        <w:rPr>
          <w:rFonts w:ascii="Calibri" w:hAnsi="Calibri" w:cs="Calibri"/>
          <w:color w:val="000000"/>
          <w:sz w:val="22"/>
        </w:rPr>
        <w:t xml:space="preserve">UFSC possui em âmbito nacional 580 pedidos de Propriedade Intelectual </w:t>
      </w:r>
      <w:r w:rsidRPr="00133A1C">
        <w:rPr>
          <w:rFonts w:ascii="Calibri" w:hAnsi="Calibri" w:cs="Calibri"/>
          <w:sz w:val="22"/>
        </w:rPr>
        <w:t xml:space="preserve">depositados/registrados no INPI (Instituto Nacional da Propriedade Industrial), sendo 294 Patentes de Invenção, 16 Patentes de Modelo de Utilidade, 204 Registros de Programa de Computador (RPC), 42 Marcas e 24 Desenhos </w:t>
      </w:r>
      <w:r w:rsidRPr="00133A1C">
        <w:rPr>
          <w:rFonts w:ascii="Calibri" w:hAnsi="Calibri" w:cs="Calibri"/>
          <w:sz w:val="22"/>
        </w:rPr>
        <w:lastRenderedPageBreak/>
        <w:t xml:space="preserve">Industrial (DI). Conta também com 12 Cultivares registrados no Ministério da Agricultura. No ano de 2021, foram depositados junto ao INPI 32 pedidos de Patente de Invenção e </w:t>
      </w:r>
      <w:proofErr w:type="gramStart"/>
      <w:r w:rsidRPr="00133A1C">
        <w:rPr>
          <w:rFonts w:ascii="Calibri" w:hAnsi="Calibri" w:cs="Calibri"/>
          <w:sz w:val="22"/>
        </w:rPr>
        <w:t>5</w:t>
      </w:r>
      <w:proofErr w:type="gramEnd"/>
      <w:r w:rsidRPr="00133A1C">
        <w:rPr>
          <w:rFonts w:ascii="Calibri" w:hAnsi="Calibri" w:cs="Calibri"/>
          <w:sz w:val="22"/>
        </w:rPr>
        <w:t xml:space="preserve"> pedidos de Patente de Modelo de Utilidade. Já em relação aos registros, foram registrados 27 Programas de Computador, 11 Desenhos Industriais e uma Marca, totalizando 76 registros/depósitos de ativos de Propriedade Intelectual. Em 2021, houve um aumento de mais de 30% no total de registros/depósitos quando comparado a 2020.</w:t>
      </w:r>
    </w:p>
    <w:p w:rsidR="00C10317" w:rsidRPr="00CB3E89" w:rsidRDefault="00C10317" w:rsidP="00692BA5">
      <w:pPr>
        <w:pStyle w:val="SemEspaamento"/>
        <w:spacing w:before="240" w:after="120"/>
        <w:jc w:val="center"/>
        <w:rPr>
          <w:i/>
          <w:sz w:val="22"/>
        </w:rPr>
      </w:pPr>
      <w:r w:rsidRPr="00133A1C">
        <w:rPr>
          <w:rStyle w:val="nfase"/>
          <w:rFonts w:ascii="Calibri" w:hAnsi="Calibri" w:cs="Calibri"/>
          <w:i w:val="0"/>
          <w:sz w:val="22"/>
          <w:szCs w:val="24"/>
        </w:rPr>
        <w:t>Propriedade Intelectual UFSC</w:t>
      </w:r>
    </w:p>
    <w:p w:rsidR="00133A1C" w:rsidRPr="00692BA5" w:rsidRDefault="00C10317" w:rsidP="00692BA5">
      <w:pPr>
        <w:pStyle w:val="Standard"/>
        <w:jc w:val="center"/>
        <w:rPr>
          <w:sz w:val="20"/>
          <w:szCs w:val="20"/>
        </w:rPr>
      </w:pPr>
      <w:r>
        <w:rPr>
          <w:noProof/>
          <w:sz w:val="20"/>
          <w:szCs w:val="20"/>
          <w:lang w:eastAsia="pt-BR" w:bidi="ar-SA"/>
        </w:rPr>
        <w:drawing>
          <wp:inline distT="0" distB="0" distL="0" distR="0" wp14:anchorId="535B8BA1" wp14:editId="7A087D12">
            <wp:extent cx="5430741" cy="2043486"/>
            <wp:effectExtent l="0" t="0" r="17780" b="139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40A5" w:rsidRPr="00133A1C" w:rsidRDefault="006840A5" w:rsidP="00D46940">
      <w:pPr>
        <w:jc w:val="both"/>
        <w:rPr>
          <w:rFonts w:asciiTheme="minorHAnsi" w:hAnsiTheme="minorHAnsi" w:cstheme="minorHAnsi"/>
          <w:sz w:val="22"/>
          <w:szCs w:val="22"/>
        </w:rPr>
      </w:pPr>
    </w:p>
    <w:p w:rsidR="004C7D70" w:rsidRPr="00133A1C" w:rsidRDefault="004C7D70" w:rsidP="00CB3E89">
      <w:pPr>
        <w:pStyle w:val="Standard"/>
        <w:spacing w:after="120"/>
        <w:jc w:val="both"/>
        <w:rPr>
          <w:rFonts w:asciiTheme="minorHAnsi" w:hAnsiTheme="minorHAnsi" w:cstheme="minorHAnsi"/>
          <w:sz w:val="22"/>
          <w:szCs w:val="22"/>
        </w:rPr>
      </w:pPr>
      <w:r w:rsidRPr="00133A1C">
        <w:rPr>
          <w:rFonts w:asciiTheme="minorHAnsi" w:hAnsiTheme="minorHAnsi" w:cstheme="minorHAnsi"/>
          <w:b/>
          <w:sz w:val="22"/>
          <w:szCs w:val="22"/>
        </w:rPr>
        <w:t>X) Pré-Acordos de Projetos</w:t>
      </w:r>
    </w:p>
    <w:p w:rsidR="006840A5" w:rsidRDefault="00CB3E89" w:rsidP="00CB3E89">
      <w:pPr>
        <w:suppressAutoHyphens w:val="0"/>
        <w:jc w:val="both"/>
        <w:rPr>
          <w:rFonts w:asciiTheme="minorHAnsi" w:hAnsiTheme="minorHAnsi" w:cstheme="minorHAnsi"/>
          <w:color w:val="000000"/>
          <w:sz w:val="22"/>
          <w:szCs w:val="22"/>
        </w:rPr>
      </w:pPr>
      <w:r>
        <w:rPr>
          <w:rFonts w:asciiTheme="minorHAnsi" w:hAnsiTheme="minorHAnsi" w:cstheme="minorHAnsi"/>
          <w:color w:val="000000"/>
          <w:sz w:val="22"/>
          <w:szCs w:val="22"/>
        </w:rPr>
        <w:t>As atividades relacionadas aos Pré-acordos de P</w:t>
      </w:r>
      <w:r w:rsidR="008F4ECD" w:rsidRPr="00133A1C">
        <w:rPr>
          <w:rFonts w:asciiTheme="minorHAnsi" w:hAnsiTheme="minorHAnsi" w:cstheme="minorHAnsi"/>
          <w:color w:val="000000"/>
          <w:sz w:val="22"/>
          <w:szCs w:val="22"/>
        </w:rPr>
        <w:t>rojetos</w:t>
      </w:r>
      <w:r w:rsidR="00354CC3">
        <w:rPr>
          <w:rFonts w:asciiTheme="minorHAnsi" w:hAnsiTheme="minorHAnsi" w:cstheme="minorHAnsi"/>
          <w:color w:val="000000"/>
          <w:sz w:val="22"/>
          <w:szCs w:val="22"/>
        </w:rPr>
        <w:t xml:space="preserve"> (PAP)</w:t>
      </w:r>
      <w:r w:rsidR="008F4ECD" w:rsidRPr="00133A1C">
        <w:rPr>
          <w:rFonts w:asciiTheme="minorHAnsi" w:hAnsiTheme="minorHAnsi" w:cstheme="minorHAnsi"/>
          <w:color w:val="000000"/>
          <w:sz w:val="22"/>
          <w:szCs w:val="22"/>
        </w:rPr>
        <w:t xml:space="preserve"> estão focadas em prospecção e entendimentos iniciais dos projetos de pesquis</w:t>
      </w:r>
      <w:r>
        <w:rPr>
          <w:rFonts w:asciiTheme="minorHAnsi" w:hAnsiTheme="minorHAnsi" w:cstheme="minorHAnsi"/>
          <w:color w:val="000000"/>
          <w:sz w:val="22"/>
          <w:szCs w:val="22"/>
        </w:rPr>
        <w:t>a</w:t>
      </w:r>
      <w:r w:rsidR="008F4ECD" w:rsidRPr="00133A1C">
        <w:rPr>
          <w:rFonts w:asciiTheme="minorHAnsi" w:hAnsiTheme="minorHAnsi" w:cstheme="minorHAnsi"/>
          <w:color w:val="000000"/>
          <w:sz w:val="22"/>
          <w:szCs w:val="22"/>
        </w:rPr>
        <w:t xml:space="preserve"> e extensão. São atividades de suporte à comunidade acadêmica quando ainda está na fase de elaboração de projeto e pré-discussão de regras de proteção da propriedade intelectual, licenciamento, registro e depósito.</w:t>
      </w:r>
    </w:p>
    <w:p w:rsidR="00CB3E89" w:rsidRPr="00CB3E89" w:rsidRDefault="00CB3E89" w:rsidP="00CB3E89">
      <w:pPr>
        <w:pStyle w:val="SemEspaamento"/>
        <w:tabs>
          <w:tab w:val="left" w:pos="2410"/>
        </w:tabs>
        <w:spacing w:before="240" w:after="120"/>
        <w:jc w:val="center"/>
        <w:rPr>
          <w:rFonts w:asciiTheme="minorHAnsi" w:hAnsiTheme="minorHAnsi" w:cstheme="minorHAnsi"/>
          <w:i/>
          <w:iCs/>
          <w:sz w:val="22"/>
          <w:szCs w:val="24"/>
        </w:rPr>
      </w:pPr>
      <w:r>
        <w:rPr>
          <w:rStyle w:val="nfase"/>
          <w:rFonts w:asciiTheme="minorHAnsi" w:hAnsiTheme="minorHAnsi" w:cstheme="minorHAnsi"/>
          <w:i w:val="0"/>
          <w:sz w:val="22"/>
          <w:szCs w:val="24"/>
        </w:rPr>
        <w:t>Atividades PAP</w:t>
      </w:r>
    </w:p>
    <w:tbl>
      <w:tblPr>
        <w:tblStyle w:val="SombreamentoClaro-nfase5"/>
        <w:tblW w:w="0" w:type="auto"/>
        <w:jc w:val="center"/>
        <w:tblLook w:val="04A0" w:firstRow="1" w:lastRow="0" w:firstColumn="1" w:lastColumn="0" w:noHBand="0" w:noVBand="1"/>
      </w:tblPr>
      <w:tblGrid>
        <w:gridCol w:w="5211"/>
        <w:gridCol w:w="2127"/>
      </w:tblGrid>
      <w:tr w:rsidR="008F4ECD" w:rsidRPr="00133A1C" w:rsidTr="00133A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Atividade</w:t>
            </w:r>
          </w:p>
        </w:tc>
        <w:tc>
          <w:tcPr>
            <w:tcW w:w="2127" w:type="dxa"/>
          </w:tcPr>
          <w:p w:rsidR="008F4ECD" w:rsidRPr="00133A1C" w:rsidRDefault="008F4ECD" w:rsidP="00133A1C">
            <w:pPr>
              <w:suppressAutoHyphens w:val="0"/>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133A1C">
              <w:rPr>
                <w:rFonts w:asciiTheme="minorHAnsi" w:hAnsiTheme="minorHAnsi" w:cstheme="minorHAnsi"/>
                <w:color w:val="000000"/>
                <w:sz w:val="20"/>
              </w:rPr>
              <w:t>Quantidade</w:t>
            </w:r>
          </w:p>
        </w:tc>
      </w:tr>
      <w:tr w:rsidR="008F4ECD" w:rsidRPr="00133A1C" w:rsidTr="00133A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Análise de </w:t>
            </w:r>
            <w:r w:rsidRPr="00133A1C">
              <w:rPr>
                <w:rFonts w:asciiTheme="minorHAnsi" w:hAnsiTheme="minorHAnsi" w:cstheme="minorHAnsi"/>
                <w:i/>
                <w:iCs/>
                <w:color w:val="000000"/>
                <w:sz w:val="20"/>
              </w:rPr>
              <w:t xml:space="preserve">Non </w:t>
            </w:r>
            <w:proofErr w:type="spellStart"/>
            <w:r w:rsidRPr="00133A1C">
              <w:rPr>
                <w:rFonts w:asciiTheme="minorHAnsi" w:hAnsiTheme="minorHAnsi" w:cstheme="minorHAnsi"/>
                <w:i/>
                <w:iCs/>
                <w:color w:val="000000"/>
                <w:sz w:val="20"/>
              </w:rPr>
              <w:t>Disclosure</w:t>
            </w:r>
            <w:proofErr w:type="spellEnd"/>
            <w:r w:rsidRPr="00133A1C">
              <w:rPr>
                <w:rFonts w:asciiTheme="minorHAnsi" w:hAnsiTheme="minorHAnsi" w:cstheme="minorHAnsi"/>
                <w:i/>
                <w:iCs/>
                <w:color w:val="000000"/>
                <w:sz w:val="20"/>
              </w:rPr>
              <w:t xml:space="preserve"> </w:t>
            </w:r>
            <w:proofErr w:type="spellStart"/>
            <w:r w:rsidRPr="00133A1C">
              <w:rPr>
                <w:rFonts w:asciiTheme="minorHAnsi" w:hAnsiTheme="minorHAnsi" w:cstheme="minorHAnsi"/>
                <w:i/>
                <w:iCs/>
                <w:color w:val="000000"/>
                <w:sz w:val="20"/>
              </w:rPr>
              <w:t>Agreement</w:t>
            </w:r>
            <w:proofErr w:type="spellEnd"/>
            <w:r w:rsidRPr="00133A1C">
              <w:rPr>
                <w:rFonts w:asciiTheme="minorHAnsi" w:hAnsiTheme="minorHAnsi" w:cstheme="minorHAnsi"/>
                <w:color w:val="000000"/>
                <w:sz w:val="20"/>
              </w:rPr>
              <w:t> NDA </w:t>
            </w:r>
          </w:p>
        </w:tc>
        <w:tc>
          <w:tcPr>
            <w:tcW w:w="2127" w:type="dxa"/>
          </w:tcPr>
          <w:p w:rsidR="008F4ECD" w:rsidRPr="00133A1C" w:rsidRDefault="008F4ECD" w:rsidP="00133A1C">
            <w:pPr>
              <w:suppressAutoHyphens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rPr>
            </w:pPr>
            <w:r w:rsidRPr="00133A1C">
              <w:rPr>
                <w:rFonts w:asciiTheme="minorHAnsi" w:hAnsiTheme="minorHAnsi" w:cstheme="minorHAnsi"/>
                <w:b/>
                <w:bCs/>
                <w:color w:val="000000"/>
                <w:sz w:val="20"/>
              </w:rPr>
              <w:t>18</w:t>
            </w:r>
          </w:p>
        </w:tc>
      </w:tr>
      <w:tr w:rsidR="008F4ECD" w:rsidRPr="00133A1C" w:rsidTr="00133A1C">
        <w:trPr>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Declaração para Defesa em Sessão Fechada e com Sigilo </w:t>
            </w:r>
          </w:p>
        </w:tc>
        <w:tc>
          <w:tcPr>
            <w:tcW w:w="2127" w:type="dxa"/>
          </w:tcPr>
          <w:p w:rsidR="008F4ECD" w:rsidRPr="00133A1C" w:rsidRDefault="008F4ECD" w:rsidP="00133A1C">
            <w:pPr>
              <w:suppressAutoHyphens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133A1C">
              <w:rPr>
                <w:rFonts w:asciiTheme="minorHAnsi" w:hAnsiTheme="minorHAnsi" w:cstheme="minorHAnsi"/>
                <w:b/>
                <w:bCs/>
                <w:color w:val="000000"/>
                <w:sz w:val="20"/>
              </w:rPr>
              <w:t>15</w:t>
            </w:r>
          </w:p>
        </w:tc>
      </w:tr>
      <w:tr w:rsidR="008F4ECD" w:rsidRPr="00133A1C" w:rsidTr="00133A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Declaração para Sigilo em Biblioteca (BU) </w:t>
            </w:r>
          </w:p>
        </w:tc>
        <w:tc>
          <w:tcPr>
            <w:tcW w:w="2127" w:type="dxa"/>
          </w:tcPr>
          <w:p w:rsidR="008F4ECD" w:rsidRPr="00133A1C" w:rsidRDefault="008F4ECD" w:rsidP="00133A1C">
            <w:pPr>
              <w:suppressAutoHyphens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rPr>
            </w:pPr>
            <w:proofErr w:type="gramStart"/>
            <w:r w:rsidRPr="00133A1C">
              <w:rPr>
                <w:rFonts w:asciiTheme="minorHAnsi" w:hAnsiTheme="minorHAnsi" w:cstheme="minorHAnsi"/>
                <w:b/>
                <w:bCs/>
                <w:color w:val="000000"/>
                <w:sz w:val="20"/>
              </w:rPr>
              <w:t>4</w:t>
            </w:r>
            <w:proofErr w:type="gramEnd"/>
          </w:p>
        </w:tc>
      </w:tr>
      <w:tr w:rsidR="008F4ECD" w:rsidRPr="00133A1C" w:rsidTr="00133A1C">
        <w:trPr>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Solicitações via Lei de Acesso à Informação (LAI) </w:t>
            </w:r>
          </w:p>
        </w:tc>
        <w:tc>
          <w:tcPr>
            <w:tcW w:w="2127" w:type="dxa"/>
          </w:tcPr>
          <w:p w:rsidR="008F4ECD" w:rsidRPr="00133A1C" w:rsidRDefault="008F4ECD" w:rsidP="00133A1C">
            <w:pPr>
              <w:suppressAutoHyphens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roofErr w:type="gramStart"/>
            <w:r w:rsidRPr="00133A1C">
              <w:rPr>
                <w:rFonts w:asciiTheme="minorHAnsi" w:hAnsiTheme="minorHAnsi" w:cstheme="minorHAnsi"/>
                <w:b/>
                <w:bCs/>
                <w:color w:val="000000"/>
                <w:sz w:val="20"/>
              </w:rPr>
              <w:t>6</w:t>
            </w:r>
            <w:proofErr w:type="gramEnd"/>
          </w:p>
        </w:tc>
      </w:tr>
      <w:tr w:rsidR="008F4ECD" w:rsidRPr="00133A1C" w:rsidTr="00133A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rsidR="008F4ECD" w:rsidRPr="00133A1C" w:rsidRDefault="008F4ECD" w:rsidP="00133A1C">
            <w:pPr>
              <w:suppressAutoHyphens w:val="0"/>
              <w:spacing w:after="120"/>
              <w:rPr>
                <w:rFonts w:asciiTheme="minorHAnsi" w:hAnsiTheme="minorHAnsi" w:cstheme="minorHAnsi"/>
                <w:color w:val="000000"/>
                <w:sz w:val="20"/>
              </w:rPr>
            </w:pPr>
            <w:r w:rsidRPr="00133A1C">
              <w:rPr>
                <w:rFonts w:asciiTheme="minorHAnsi" w:hAnsiTheme="minorHAnsi" w:cstheme="minorHAnsi"/>
                <w:color w:val="000000"/>
                <w:sz w:val="20"/>
              </w:rPr>
              <w:t>Participação em reuniões de orientação </w:t>
            </w:r>
          </w:p>
        </w:tc>
        <w:tc>
          <w:tcPr>
            <w:tcW w:w="2127" w:type="dxa"/>
          </w:tcPr>
          <w:p w:rsidR="008F4ECD" w:rsidRPr="00133A1C" w:rsidRDefault="008F4ECD" w:rsidP="00133A1C">
            <w:pPr>
              <w:suppressAutoHyphens w:val="0"/>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rPr>
            </w:pPr>
            <w:r w:rsidRPr="00133A1C">
              <w:rPr>
                <w:rFonts w:asciiTheme="minorHAnsi" w:hAnsiTheme="minorHAnsi" w:cstheme="minorHAnsi"/>
                <w:b/>
                <w:bCs/>
                <w:color w:val="000000"/>
                <w:sz w:val="20"/>
              </w:rPr>
              <w:t>24</w:t>
            </w:r>
          </w:p>
        </w:tc>
      </w:tr>
    </w:tbl>
    <w:p w:rsidR="00A635CF" w:rsidRDefault="00A635CF" w:rsidP="00BA2E41">
      <w:pPr>
        <w:pStyle w:val="Standard"/>
        <w:spacing w:before="240" w:after="120"/>
        <w:jc w:val="both"/>
        <w:rPr>
          <w:rFonts w:asciiTheme="minorHAnsi" w:hAnsiTheme="minorHAnsi" w:cstheme="minorHAnsi"/>
          <w:b/>
          <w:sz w:val="22"/>
          <w:szCs w:val="22"/>
        </w:rPr>
      </w:pPr>
      <w:proofErr w:type="gramStart"/>
      <w:r w:rsidRPr="00133A1C">
        <w:rPr>
          <w:rFonts w:asciiTheme="minorHAnsi" w:hAnsiTheme="minorHAnsi" w:cstheme="minorHAnsi"/>
          <w:b/>
          <w:sz w:val="22"/>
          <w:szCs w:val="22"/>
        </w:rPr>
        <w:t>X</w:t>
      </w:r>
      <w:r>
        <w:rPr>
          <w:rFonts w:asciiTheme="minorHAnsi" w:hAnsiTheme="minorHAnsi" w:cstheme="minorHAnsi"/>
          <w:b/>
          <w:sz w:val="22"/>
          <w:szCs w:val="22"/>
        </w:rPr>
        <w:t>I</w:t>
      </w:r>
      <w:r w:rsidRPr="00133A1C">
        <w:rPr>
          <w:rFonts w:asciiTheme="minorHAnsi" w:hAnsiTheme="minorHAnsi" w:cstheme="minorHAnsi"/>
          <w:b/>
          <w:sz w:val="22"/>
          <w:szCs w:val="22"/>
        </w:rPr>
        <w:t>)</w:t>
      </w:r>
      <w:proofErr w:type="gramEnd"/>
      <w:r w:rsidRPr="00133A1C">
        <w:rPr>
          <w:rFonts w:asciiTheme="minorHAnsi" w:hAnsiTheme="minorHAnsi" w:cstheme="minorHAnsi"/>
          <w:b/>
          <w:sz w:val="22"/>
          <w:szCs w:val="22"/>
        </w:rPr>
        <w:t xml:space="preserve"> </w:t>
      </w:r>
      <w:r>
        <w:rPr>
          <w:rFonts w:asciiTheme="minorHAnsi" w:hAnsiTheme="minorHAnsi" w:cstheme="minorHAnsi"/>
          <w:b/>
          <w:sz w:val="22"/>
          <w:szCs w:val="22"/>
        </w:rPr>
        <w:t>Prêmios Alcançados</w:t>
      </w:r>
    </w:p>
    <w:p w:rsidR="005559B0" w:rsidRDefault="00A635CF" w:rsidP="00692BA5">
      <w:pPr>
        <w:pStyle w:val="Standard"/>
        <w:spacing w:after="120"/>
        <w:jc w:val="both"/>
        <w:rPr>
          <w:rFonts w:ascii="Calibri" w:hAnsi="Calibri" w:cs="Calibri"/>
        </w:rPr>
      </w:pPr>
      <w:r w:rsidRPr="00A635CF">
        <w:rPr>
          <w:rFonts w:asciiTheme="minorHAnsi" w:hAnsiTheme="minorHAnsi" w:cstheme="minorHAnsi"/>
          <w:sz w:val="22"/>
          <w:szCs w:val="22"/>
        </w:rPr>
        <w:t xml:space="preserve">O Projeto SINOVA Startup </w:t>
      </w:r>
      <w:proofErr w:type="spellStart"/>
      <w:r w:rsidRPr="00A635CF">
        <w:rPr>
          <w:rFonts w:asciiTheme="minorHAnsi" w:hAnsiTheme="minorHAnsi" w:cstheme="minorHAnsi"/>
          <w:sz w:val="22"/>
          <w:szCs w:val="22"/>
        </w:rPr>
        <w:t>Mentoring</w:t>
      </w:r>
      <w:proofErr w:type="spellEnd"/>
      <w:r w:rsidRPr="00A635CF">
        <w:rPr>
          <w:rFonts w:asciiTheme="minorHAnsi" w:hAnsiTheme="minorHAnsi" w:cstheme="minorHAnsi"/>
          <w:sz w:val="22"/>
          <w:szCs w:val="22"/>
        </w:rPr>
        <w:t xml:space="preserve"> da SINOVA proporcionou a UFSC ficar entre as </w:t>
      </w:r>
      <w:proofErr w:type="gramStart"/>
      <w:r w:rsidRPr="00A635CF">
        <w:rPr>
          <w:rFonts w:asciiTheme="minorHAnsi" w:hAnsiTheme="minorHAnsi" w:cstheme="minorHAnsi"/>
          <w:sz w:val="22"/>
          <w:szCs w:val="22"/>
        </w:rPr>
        <w:t>3</w:t>
      </w:r>
      <w:proofErr w:type="gramEnd"/>
      <w:r w:rsidRPr="00A635CF">
        <w:rPr>
          <w:rFonts w:asciiTheme="minorHAnsi" w:hAnsiTheme="minorHAnsi" w:cstheme="minorHAnsi"/>
          <w:sz w:val="22"/>
          <w:szCs w:val="22"/>
        </w:rPr>
        <w:t xml:space="preserve"> universidades mais empreendedoras do Brasil, prêmio </w:t>
      </w:r>
      <w:r w:rsidRPr="00A635CF">
        <w:rPr>
          <w:rFonts w:asciiTheme="minorHAnsi" w:hAnsiTheme="minorHAnsi" w:cstheme="minorHAnsi"/>
          <w:i/>
          <w:sz w:val="22"/>
          <w:szCs w:val="22"/>
        </w:rPr>
        <w:t xml:space="preserve">Startup </w:t>
      </w:r>
      <w:proofErr w:type="spellStart"/>
      <w:r w:rsidRPr="00A635CF">
        <w:rPr>
          <w:rFonts w:asciiTheme="minorHAnsi" w:hAnsiTheme="minorHAnsi" w:cstheme="minorHAnsi"/>
          <w:i/>
          <w:sz w:val="22"/>
          <w:szCs w:val="22"/>
        </w:rPr>
        <w:t>Awards</w:t>
      </w:r>
      <w:proofErr w:type="spellEnd"/>
      <w:r w:rsidRPr="00A635CF">
        <w:rPr>
          <w:rFonts w:asciiTheme="minorHAnsi" w:hAnsiTheme="minorHAnsi" w:cstheme="minorHAnsi"/>
          <w:i/>
          <w:sz w:val="22"/>
          <w:szCs w:val="22"/>
        </w:rPr>
        <w:t xml:space="preserve"> 2k21</w:t>
      </w:r>
      <w:r w:rsidRPr="00A635CF">
        <w:rPr>
          <w:rFonts w:asciiTheme="minorHAnsi" w:hAnsiTheme="minorHAnsi" w:cstheme="minorHAnsi"/>
          <w:sz w:val="22"/>
          <w:szCs w:val="22"/>
        </w:rPr>
        <w:t xml:space="preserve"> da Associação Brasileira de Startups </w:t>
      </w:r>
      <w:r w:rsidRPr="00A635CF">
        <w:rPr>
          <w:rFonts w:asciiTheme="minorHAnsi" w:hAnsiTheme="minorHAnsi" w:cstheme="minorHAnsi"/>
          <w:color w:val="333333"/>
          <w:sz w:val="22"/>
          <w:szCs w:val="22"/>
          <w:shd w:val="clear" w:color="auto" w:fill="FFFFFF"/>
        </w:rPr>
        <w:t xml:space="preserve">e da Agência </w:t>
      </w:r>
      <w:proofErr w:type="spellStart"/>
      <w:r w:rsidRPr="00A635CF">
        <w:rPr>
          <w:rFonts w:asciiTheme="minorHAnsi" w:hAnsiTheme="minorHAnsi" w:cstheme="minorHAnsi"/>
          <w:color w:val="333333"/>
          <w:sz w:val="22"/>
          <w:szCs w:val="22"/>
          <w:shd w:val="clear" w:color="auto" w:fill="FFFFFF"/>
        </w:rPr>
        <w:t>Blanko</w:t>
      </w:r>
      <w:proofErr w:type="spellEnd"/>
      <w:r w:rsidRPr="00A635CF">
        <w:rPr>
          <w:rFonts w:asciiTheme="minorHAnsi" w:hAnsiTheme="minorHAnsi" w:cstheme="minorHAnsi"/>
          <w:sz w:val="22"/>
          <w:szCs w:val="22"/>
        </w:rPr>
        <w:t xml:space="preserve">. O evento que está em sua 9ª edição é o maior evento do Ecossistema de Inovação brasileiro. Startup </w:t>
      </w:r>
      <w:proofErr w:type="spellStart"/>
      <w:r w:rsidRPr="00A635CF">
        <w:rPr>
          <w:rFonts w:asciiTheme="minorHAnsi" w:hAnsiTheme="minorHAnsi" w:cstheme="minorHAnsi"/>
          <w:sz w:val="22"/>
          <w:szCs w:val="22"/>
        </w:rPr>
        <w:t>Awards</w:t>
      </w:r>
      <w:proofErr w:type="spellEnd"/>
      <w:r w:rsidRPr="00A635CF">
        <w:rPr>
          <w:rFonts w:asciiTheme="minorHAnsi" w:hAnsiTheme="minorHAnsi" w:cstheme="minorHAnsi"/>
          <w:sz w:val="22"/>
          <w:szCs w:val="22"/>
        </w:rPr>
        <w:t xml:space="preserve"> é uma premiação anual, dedicada às iniciativas que transformam de fato a realidade, por meio da inovação.</w:t>
      </w:r>
      <w:r w:rsidR="000153AA">
        <w:rPr>
          <w:rFonts w:asciiTheme="minorHAnsi" w:hAnsiTheme="minorHAnsi" w:cstheme="minorHAnsi"/>
          <w:sz w:val="22"/>
          <w:szCs w:val="22"/>
        </w:rPr>
        <w:t xml:space="preserve"> </w:t>
      </w:r>
      <w:r>
        <w:rPr>
          <w:rFonts w:asciiTheme="minorHAnsi" w:hAnsiTheme="minorHAnsi" w:cstheme="minorHAnsi"/>
          <w:sz w:val="22"/>
          <w:szCs w:val="22"/>
        </w:rPr>
        <w:t xml:space="preserve">E o Projeto </w:t>
      </w:r>
      <w:proofErr w:type="spellStart"/>
      <w:r>
        <w:rPr>
          <w:rFonts w:asciiTheme="minorHAnsi" w:hAnsiTheme="minorHAnsi" w:cstheme="minorHAnsi"/>
          <w:sz w:val="22"/>
          <w:szCs w:val="22"/>
        </w:rPr>
        <w:t>Academy</w:t>
      </w:r>
      <w:proofErr w:type="spellEnd"/>
      <w:r>
        <w:rPr>
          <w:rFonts w:asciiTheme="minorHAnsi" w:hAnsiTheme="minorHAnsi" w:cstheme="minorHAnsi"/>
          <w:sz w:val="22"/>
          <w:szCs w:val="22"/>
        </w:rPr>
        <w:t xml:space="preserve"> ficou em 3º Lugar na etapa estadual do Prêmio </w:t>
      </w:r>
      <w:proofErr w:type="gramStart"/>
      <w:r>
        <w:rPr>
          <w:rFonts w:asciiTheme="minorHAnsi" w:hAnsiTheme="minorHAnsi" w:cstheme="minorHAnsi"/>
          <w:sz w:val="22"/>
          <w:szCs w:val="22"/>
        </w:rPr>
        <w:t>Sebrae</w:t>
      </w:r>
      <w:proofErr w:type="gramEnd"/>
      <w:r>
        <w:rPr>
          <w:rFonts w:asciiTheme="minorHAnsi" w:hAnsiTheme="minorHAnsi" w:cstheme="minorHAnsi"/>
          <w:sz w:val="22"/>
          <w:szCs w:val="22"/>
        </w:rPr>
        <w:t xml:space="preserve"> de Educação Empreendedora</w:t>
      </w:r>
      <w:r w:rsidR="000D3FEA">
        <w:rPr>
          <w:rFonts w:asciiTheme="minorHAnsi" w:hAnsiTheme="minorHAnsi" w:cstheme="minorHAnsi"/>
          <w:sz w:val="22"/>
          <w:szCs w:val="22"/>
        </w:rPr>
        <w:t xml:space="preserve"> em Santa Catarina-</w:t>
      </w:r>
      <w:r>
        <w:rPr>
          <w:rFonts w:asciiTheme="minorHAnsi" w:hAnsiTheme="minorHAnsi" w:cstheme="minorHAnsi"/>
          <w:sz w:val="22"/>
          <w:szCs w:val="22"/>
        </w:rPr>
        <w:t xml:space="preserve"> categoria Ensino Superior.</w:t>
      </w:r>
      <w:r w:rsidR="00692BA5">
        <w:rPr>
          <w:rFonts w:ascii="Calibri" w:hAnsi="Calibri" w:cs="Calibri"/>
        </w:rPr>
        <w:t xml:space="preserve"> </w:t>
      </w:r>
    </w:p>
    <w:p w:rsidR="000153AA" w:rsidRDefault="000153AA" w:rsidP="00BA2E41">
      <w:pPr>
        <w:pStyle w:val="Standard"/>
        <w:spacing w:before="240" w:after="120"/>
        <w:jc w:val="both"/>
        <w:rPr>
          <w:rFonts w:asciiTheme="minorHAnsi" w:hAnsiTheme="minorHAnsi" w:cstheme="minorHAnsi"/>
          <w:b/>
          <w:sz w:val="22"/>
          <w:szCs w:val="22"/>
        </w:rPr>
      </w:pPr>
      <w:r w:rsidRPr="00133A1C">
        <w:rPr>
          <w:rFonts w:asciiTheme="minorHAnsi" w:hAnsiTheme="minorHAnsi" w:cstheme="minorHAnsi"/>
          <w:b/>
          <w:sz w:val="22"/>
          <w:szCs w:val="22"/>
        </w:rPr>
        <w:t>X</w:t>
      </w:r>
      <w:r>
        <w:rPr>
          <w:rFonts w:asciiTheme="minorHAnsi" w:hAnsiTheme="minorHAnsi" w:cstheme="minorHAnsi"/>
          <w:b/>
          <w:sz w:val="22"/>
          <w:szCs w:val="22"/>
        </w:rPr>
        <w:t>II</w:t>
      </w:r>
      <w:r w:rsidRPr="00133A1C">
        <w:rPr>
          <w:rFonts w:asciiTheme="minorHAnsi" w:hAnsiTheme="minorHAnsi" w:cstheme="minorHAnsi"/>
          <w:b/>
          <w:sz w:val="22"/>
          <w:szCs w:val="22"/>
        </w:rPr>
        <w:t xml:space="preserve">) </w:t>
      </w:r>
      <w:r>
        <w:rPr>
          <w:rFonts w:asciiTheme="minorHAnsi" w:hAnsiTheme="minorHAnsi" w:cstheme="minorHAnsi"/>
          <w:b/>
          <w:sz w:val="22"/>
          <w:szCs w:val="22"/>
        </w:rPr>
        <w:t>Política de Inovação e Empreendedorismo da UFSC</w:t>
      </w:r>
    </w:p>
    <w:p w:rsidR="000153AA" w:rsidRPr="000153AA" w:rsidRDefault="000153AA" w:rsidP="000153AA">
      <w:pPr>
        <w:pStyle w:val="Standard"/>
        <w:spacing w:before="120" w:after="120"/>
        <w:jc w:val="both"/>
        <w:rPr>
          <w:rFonts w:asciiTheme="minorHAnsi" w:hAnsiTheme="minorHAnsi" w:cstheme="minorHAnsi"/>
          <w:sz w:val="22"/>
          <w:szCs w:val="22"/>
        </w:rPr>
      </w:pPr>
      <w:r w:rsidRPr="000153AA">
        <w:rPr>
          <w:rFonts w:asciiTheme="minorHAnsi" w:hAnsiTheme="minorHAnsi" w:cstheme="minorHAnsi"/>
          <w:sz w:val="22"/>
          <w:szCs w:val="22"/>
        </w:rPr>
        <w:t>A Política de Inovação e Empreendedorismo da UFSC foi aprovada pelo Co</w:t>
      </w:r>
      <w:r>
        <w:rPr>
          <w:rFonts w:asciiTheme="minorHAnsi" w:hAnsiTheme="minorHAnsi" w:cstheme="minorHAnsi"/>
          <w:sz w:val="22"/>
          <w:szCs w:val="22"/>
        </w:rPr>
        <w:t>mitê de Inovação da UFSC e em 2022 será colocada em discussão para aprovação junto ao Conselho Universitário.</w:t>
      </w:r>
      <w:r w:rsidRPr="000153AA">
        <w:rPr>
          <w:rFonts w:asciiTheme="minorHAnsi" w:hAnsiTheme="minorHAnsi" w:cstheme="minorHAnsi"/>
          <w:sz w:val="22"/>
          <w:szCs w:val="22"/>
        </w:rPr>
        <w:t xml:space="preserve"> </w:t>
      </w:r>
    </w:p>
    <w:sectPr w:rsidR="000153AA" w:rsidRPr="000153AA">
      <w:footerReference w:type="default" r:id="rId14"/>
      <w:headerReference w:type="first" r:id="rId15"/>
      <w:footerReference w:type="first" r:id="rId16"/>
      <w:pgSz w:w="11906" w:h="16838"/>
      <w:pgMar w:top="1191" w:right="851" w:bottom="1191" w:left="1701"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6C" w:rsidRDefault="0020316C">
      <w:r>
        <w:separator/>
      </w:r>
    </w:p>
  </w:endnote>
  <w:endnote w:type="continuationSeparator" w:id="0">
    <w:p w:rsidR="0020316C" w:rsidRDefault="0020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82" w:rsidRDefault="00B31A82">
    <w:pPr>
      <w:pStyle w:val="Rodap"/>
      <w:jc w:val="center"/>
      <w:rPr>
        <w:rFonts w:ascii="Calibri" w:hAnsi="Calibri" w:cs="Calibri"/>
        <w:sz w:val="20"/>
        <w:szCs w:val="16"/>
        <w:highlight w:val="yellow"/>
      </w:rPr>
    </w:pPr>
  </w:p>
  <w:p w:rsidR="00B31A82" w:rsidRDefault="00B31A82">
    <w:pPr>
      <w:pStyle w:val="Rodap"/>
      <w:rPr>
        <w:rFonts w:ascii="Calibri" w:hAnsi="Calibri" w:cs="Calibr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86" w:rsidRDefault="002E7C86" w:rsidP="002E7C86">
    <w:pPr>
      <w:pStyle w:val="Rodap1"/>
      <w:jc w:val="center"/>
      <w:rPr>
        <w:rStyle w:val="LinkdaInternet"/>
        <w:rFonts w:asciiTheme="minorHAnsi" w:hAnsiTheme="minorHAnsi" w:cs="Calibri"/>
        <w:color w:val="auto"/>
        <w:sz w:val="20"/>
        <w:u w:val="none"/>
      </w:rPr>
    </w:pPr>
    <w:r>
      <w:rPr>
        <w:rStyle w:val="LinkdaInternet"/>
        <w:rFonts w:asciiTheme="minorHAnsi" w:hAnsiTheme="minorHAnsi" w:cs="Calibri"/>
        <w:color w:val="auto"/>
        <w:sz w:val="20"/>
        <w:u w:val="none"/>
      </w:rPr>
      <w:t xml:space="preserve">Avenida Desembargador Vitor Lima, 222 – Loja 03 – Prédio Reitoria II, Trindade. </w:t>
    </w:r>
  </w:p>
  <w:p w:rsidR="002E7C86" w:rsidRDefault="002E7C86" w:rsidP="002E7C86">
    <w:pPr>
      <w:pStyle w:val="Rodap1"/>
      <w:jc w:val="center"/>
      <w:rPr>
        <w:rStyle w:val="LinkdaInternet"/>
        <w:rFonts w:asciiTheme="minorHAnsi" w:hAnsiTheme="minorHAnsi" w:cs="Calibri"/>
        <w:color w:val="auto"/>
        <w:sz w:val="20"/>
        <w:u w:val="none"/>
      </w:rPr>
    </w:pPr>
    <w:r>
      <w:rPr>
        <w:rStyle w:val="LinkdaInternet"/>
        <w:rFonts w:asciiTheme="minorHAnsi" w:hAnsiTheme="minorHAnsi" w:cs="Calibri"/>
        <w:color w:val="auto"/>
        <w:sz w:val="20"/>
        <w:u w:val="none"/>
      </w:rPr>
      <w:t>CEP: 88040-400 – Florianópolis, SC, Brasil. Telefone: (48) 3721-2346.</w:t>
    </w:r>
  </w:p>
  <w:p w:rsidR="002E7C86" w:rsidRDefault="002E7C86" w:rsidP="002E7C86">
    <w:pPr>
      <w:pStyle w:val="Rodap1"/>
      <w:jc w:val="center"/>
    </w:pPr>
    <w:r>
      <w:rPr>
        <w:rStyle w:val="LinkdaInternet"/>
        <w:rFonts w:asciiTheme="minorHAnsi" w:hAnsiTheme="minorHAnsi" w:cs="Calibri"/>
        <w:color w:val="auto"/>
        <w:sz w:val="20"/>
        <w:u w:val="none"/>
      </w:rPr>
      <w:t xml:space="preserve">E-mail: </w:t>
    </w:r>
    <w:hyperlink r:id="rId1">
      <w:r>
        <w:rPr>
          <w:rStyle w:val="LinkdaInternet"/>
          <w:rFonts w:asciiTheme="minorHAnsi" w:hAnsiTheme="minorHAnsi" w:cs="Calibri"/>
          <w:color w:val="auto"/>
          <w:sz w:val="20"/>
          <w:u w:val="none"/>
        </w:rPr>
        <w:t>sinova@contato.ufsc.br</w:t>
      </w:r>
    </w:hyperlink>
    <w:r>
      <w:rPr>
        <w:rStyle w:val="LinkdaInternet"/>
        <w:rFonts w:asciiTheme="minorHAnsi" w:hAnsiTheme="minorHAnsi" w:cs="Calibri"/>
        <w:color w:val="auto"/>
        <w:sz w:val="20"/>
        <w:u w:val="none"/>
      </w:rPr>
      <w:t>. http://sinova.ufsc.br/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6C" w:rsidRDefault="0020316C">
      <w:r>
        <w:separator/>
      </w:r>
    </w:p>
  </w:footnote>
  <w:footnote w:type="continuationSeparator" w:id="0">
    <w:p w:rsidR="0020316C" w:rsidRDefault="0020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86" w:rsidRDefault="002E7C86" w:rsidP="002E7C86">
    <w:pPr>
      <w:pStyle w:val="Cabealho"/>
      <w:jc w:val="center"/>
      <w:rPr>
        <w:rFonts w:ascii="Verdana" w:hAnsi="Verdana"/>
        <w:sz w:val="16"/>
        <w:szCs w:val="16"/>
      </w:rPr>
    </w:pPr>
    <w:r>
      <w:rPr>
        <w:noProof/>
      </w:rPr>
      <w:drawing>
        <wp:inline distT="0" distB="0" distL="0" distR="0" wp14:anchorId="087B004C" wp14:editId="71C70F4A">
          <wp:extent cx="590550" cy="590550"/>
          <wp:effectExtent l="0" t="0" r="0" b="0"/>
          <wp:docPr id="4" name="Imagem 1" descr="brasao-p-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ao-p-b2"/>
                  <pic:cNvPicPr>
                    <a:picLocks noChangeAspect="1" noChangeArrowheads="1"/>
                  </pic:cNvPicPr>
                </pic:nvPicPr>
                <pic:blipFill>
                  <a:blip r:embed="rId1"/>
                  <a:stretch>
                    <a:fillRect/>
                  </a:stretch>
                </pic:blipFill>
                <pic:spPr bwMode="auto">
                  <a:xfrm>
                    <a:off x="0" y="0"/>
                    <a:ext cx="590550" cy="590550"/>
                  </a:xfrm>
                  <a:prstGeom prst="rect">
                    <a:avLst/>
                  </a:prstGeom>
                </pic:spPr>
              </pic:pic>
            </a:graphicData>
          </a:graphic>
        </wp:inline>
      </w:drawing>
    </w:r>
  </w:p>
  <w:p w:rsidR="002E7C86" w:rsidRDefault="002E7C86" w:rsidP="002E7C86">
    <w:pPr>
      <w:pStyle w:val="Cabealho"/>
      <w:jc w:val="center"/>
      <w:rPr>
        <w:rFonts w:ascii="Calibri" w:hAnsi="Calibri" w:cs="Calibri"/>
        <w:szCs w:val="24"/>
      </w:rPr>
    </w:pPr>
    <w:r>
      <w:rPr>
        <w:rFonts w:ascii="Calibri" w:hAnsi="Calibri" w:cs="Calibri"/>
        <w:szCs w:val="24"/>
      </w:rPr>
      <w:t>MINISTÉRIO DA EDUCAÇÃO</w:t>
    </w:r>
  </w:p>
  <w:p w:rsidR="002E7C86" w:rsidRDefault="002E7C86" w:rsidP="002E7C86">
    <w:pPr>
      <w:pStyle w:val="Cabealho"/>
      <w:jc w:val="center"/>
      <w:rPr>
        <w:rFonts w:ascii="Calibri" w:hAnsi="Calibri" w:cs="Calibri"/>
        <w:szCs w:val="24"/>
      </w:rPr>
    </w:pPr>
    <w:r>
      <w:rPr>
        <w:rFonts w:ascii="Calibri" w:hAnsi="Calibri" w:cs="Calibri"/>
        <w:szCs w:val="24"/>
      </w:rPr>
      <w:t>UNIVERSIDADE FEDERAL DE SANTA CATARINA</w:t>
    </w:r>
  </w:p>
  <w:p w:rsidR="002E7C86" w:rsidRPr="002E7C86" w:rsidRDefault="002E7C86" w:rsidP="002E7C86">
    <w:pPr>
      <w:pStyle w:val="Cabealho"/>
      <w:jc w:val="center"/>
      <w:rPr>
        <w:rFonts w:ascii="Calibri" w:hAnsi="Calibri" w:cs="Calibri"/>
        <w:szCs w:val="24"/>
      </w:rPr>
    </w:pPr>
    <w:r>
      <w:rPr>
        <w:rFonts w:ascii="Calibri" w:hAnsi="Calibri" w:cs="Calibri"/>
        <w:szCs w:val="24"/>
      </w:rPr>
      <w:t>SECRETARIA DE INOVAÇÃO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A12"/>
    <w:multiLevelType w:val="multilevel"/>
    <w:tmpl w:val="7C6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E543D"/>
    <w:multiLevelType w:val="multilevel"/>
    <w:tmpl w:val="C6C4CF3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E0E0370"/>
    <w:multiLevelType w:val="multilevel"/>
    <w:tmpl w:val="0E844624"/>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78A758F"/>
    <w:multiLevelType w:val="multilevel"/>
    <w:tmpl w:val="877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E5137"/>
    <w:multiLevelType w:val="multilevel"/>
    <w:tmpl w:val="C31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B0"/>
    <w:rsid w:val="000153AA"/>
    <w:rsid w:val="000C3250"/>
    <w:rsid w:val="000D1745"/>
    <w:rsid w:val="000D3FEA"/>
    <w:rsid w:val="000D4635"/>
    <w:rsid w:val="000D6156"/>
    <w:rsid w:val="00133A1C"/>
    <w:rsid w:val="00176180"/>
    <w:rsid w:val="001D2344"/>
    <w:rsid w:val="0020316C"/>
    <w:rsid w:val="00214F73"/>
    <w:rsid w:val="00276BD1"/>
    <w:rsid w:val="00294D7D"/>
    <w:rsid w:val="002E7C86"/>
    <w:rsid w:val="003077B8"/>
    <w:rsid w:val="00342253"/>
    <w:rsid w:val="00354CC3"/>
    <w:rsid w:val="003B26EE"/>
    <w:rsid w:val="004B1CB1"/>
    <w:rsid w:val="004C7D70"/>
    <w:rsid w:val="005559B0"/>
    <w:rsid w:val="0056701B"/>
    <w:rsid w:val="005C28AA"/>
    <w:rsid w:val="006840A5"/>
    <w:rsid w:val="006841B6"/>
    <w:rsid w:val="00692BA5"/>
    <w:rsid w:val="0069769C"/>
    <w:rsid w:val="007565C9"/>
    <w:rsid w:val="00772D7E"/>
    <w:rsid w:val="00886824"/>
    <w:rsid w:val="008F4ECD"/>
    <w:rsid w:val="0096427A"/>
    <w:rsid w:val="009B6A17"/>
    <w:rsid w:val="00A3353B"/>
    <w:rsid w:val="00A635CF"/>
    <w:rsid w:val="00AA4D38"/>
    <w:rsid w:val="00AC3484"/>
    <w:rsid w:val="00B27925"/>
    <w:rsid w:val="00B31A82"/>
    <w:rsid w:val="00B5475E"/>
    <w:rsid w:val="00B879A7"/>
    <w:rsid w:val="00BA2E41"/>
    <w:rsid w:val="00C10317"/>
    <w:rsid w:val="00CA17EF"/>
    <w:rsid w:val="00CB3E89"/>
    <w:rsid w:val="00D302B7"/>
    <w:rsid w:val="00D3259D"/>
    <w:rsid w:val="00D46940"/>
    <w:rsid w:val="00D9633E"/>
    <w:rsid w:val="00DC33E2"/>
    <w:rsid w:val="00E25614"/>
    <w:rsid w:val="00E6265A"/>
    <w:rsid w:val="00E90E00"/>
    <w:rsid w:val="00EF0507"/>
    <w:rsid w:val="00F55BCA"/>
    <w:rsid w:val="00F60340"/>
    <w:rsid w:val="00FF6C2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5E"/>
    <w:pPr>
      <w:suppressAutoHyphens/>
    </w:pPr>
    <w:rPr>
      <w:rFonts w:ascii="Times New Roman" w:eastAsia="Times New Roman" w:hAnsi="Times New Roman"/>
      <w:sz w:val="24"/>
    </w:rPr>
  </w:style>
  <w:style w:type="paragraph" w:styleId="Ttulo2">
    <w:name w:val="heading 2"/>
    <w:basedOn w:val="Normal"/>
    <w:next w:val="Normal"/>
    <w:link w:val="Ttulo2Char"/>
    <w:qFormat/>
    <w:rsid w:val="00484C5E"/>
    <w:pPr>
      <w:keepNext/>
      <w:numPr>
        <w:ilvl w:val="1"/>
        <w:numId w:val="1"/>
      </w:numPr>
      <w:tabs>
        <w:tab w:val="left" w:pos="960"/>
        <w:tab w:val="left" w:pos="1134"/>
        <w:tab w:val="left" w:pos="2880"/>
        <w:tab w:val="left" w:pos="3840"/>
        <w:tab w:val="left" w:pos="4800"/>
        <w:tab w:val="left" w:pos="5760"/>
        <w:tab w:val="left" w:pos="6720"/>
      </w:tabs>
      <w:ind w:firstLine="1418"/>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qFormat/>
    <w:rsid w:val="00484C5E"/>
    <w:rPr>
      <w:rFonts w:ascii="Times New Roman" w:eastAsia="Times New Roman" w:hAnsi="Times New Roman" w:cs="Times New Roman"/>
      <w:sz w:val="24"/>
      <w:szCs w:val="20"/>
      <w:lang w:eastAsia="pt-BR"/>
    </w:rPr>
  </w:style>
  <w:style w:type="character" w:customStyle="1" w:styleId="CabealhoChar">
    <w:name w:val="Cabeçalho Char"/>
    <w:link w:val="Cabealho"/>
    <w:qFormat/>
    <w:rsid w:val="00484C5E"/>
    <w:rPr>
      <w:rFonts w:ascii="Times New Roman" w:eastAsia="Times New Roman" w:hAnsi="Times New Roman" w:cs="Times New Roman"/>
      <w:sz w:val="24"/>
      <w:szCs w:val="20"/>
      <w:lang w:eastAsia="pt-BR"/>
    </w:rPr>
  </w:style>
  <w:style w:type="character" w:customStyle="1" w:styleId="RodapChar">
    <w:name w:val="Rodapé Char"/>
    <w:link w:val="Rodap"/>
    <w:uiPriority w:val="99"/>
    <w:qFormat/>
    <w:rsid w:val="00484C5E"/>
    <w:rPr>
      <w:rFonts w:ascii="Times New Roman" w:eastAsia="Times New Roman" w:hAnsi="Times New Roman" w:cs="Times New Roman"/>
      <w:sz w:val="24"/>
      <w:szCs w:val="20"/>
      <w:lang w:eastAsia="pt-BR"/>
    </w:rPr>
  </w:style>
  <w:style w:type="character" w:styleId="Nmerodepgina">
    <w:name w:val="page number"/>
    <w:basedOn w:val="Fontepargpadro"/>
    <w:qFormat/>
    <w:rsid w:val="00674E06"/>
  </w:style>
  <w:style w:type="character" w:styleId="Forte">
    <w:name w:val="Strong"/>
    <w:uiPriority w:val="22"/>
    <w:qFormat/>
    <w:rsid w:val="00AB2D65"/>
    <w:rPr>
      <w:b/>
      <w:bCs/>
    </w:rPr>
  </w:style>
  <w:style w:type="character" w:customStyle="1" w:styleId="apple-style-span">
    <w:name w:val="apple-style-span"/>
    <w:basedOn w:val="Fontepargpadro"/>
    <w:qFormat/>
    <w:rsid w:val="00AB2D65"/>
  </w:style>
  <w:style w:type="character" w:styleId="nfase">
    <w:name w:val="Emphasis"/>
    <w:qFormat/>
    <w:rsid w:val="00AB2D65"/>
    <w:rPr>
      <w:i/>
      <w:iCs/>
    </w:rPr>
  </w:style>
  <w:style w:type="character" w:customStyle="1" w:styleId="TextodebaloChar">
    <w:name w:val="Texto de balão Char"/>
    <w:link w:val="Textodebalo"/>
    <w:uiPriority w:val="99"/>
    <w:semiHidden/>
    <w:qFormat/>
    <w:rsid w:val="00441D7C"/>
    <w:rPr>
      <w:rFonts w:ascii="Segoe UI" w:eastAsia="Times New Roman" w:hAnsi="Segoe UI" w:cs="Segoe UI"/>
      <w:sz w:val="18"/>
      <w:szCs w:val="18"/>
    </w:rPr>
  </w:style>
  <w:style w:type="character" w:customStyle="1" w:styleId="LinkdaInternet">
    <w:name w:val="Link da Internet"/>
    <w:uiPriority w:val="99"/>
    <w:unhideWhenUsed/>
    <w:rsid w:val="00174BCB"/>
    <w:rPr>
      <w:color w:val="0563C1"/>
      <w:u w:val="single"/>
    </w:rPr>
  </w:style>
  <w:style w:type="character" w:customStyle="1" w:styleId="UnresolvedMention">
    <w:name w:val="Unresolved Mention"/>
    <w:uiPriority w:val="99"/>
    <w:semiHidden/>
    <w:unhideWhenUsed/>
    <w:qFormat/>
    <w:rsid w:val="00A27B78"/>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1D4431"/>
    <w:rPr>
      <w:rFonts w:ascii="Liberation Serif" w:eastAsia="Noto Sans CJK SC Regular" w:hAnsi="Liberation Serif" w:cs="Mangal"/>
      <w:kern w:val="2"/>
      <w:szCs w:val="18"/>
      <w:lang w:eastAsia="zh-CN" w:bidi="hi-IN"/>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1D4431"/>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rsid w:val="00484C5E"/>
    <w:pPr>
      <w:tabs>
        <w:tab w:val="center" w:pos="4419"/>
        <w:tab w:val="right" w:pos="8838"/>
      </w:tabs>
    </w:pPr>
  </w:style>
  <w:style w:type="paragraph" w:styleId="Rodap">
    <w:name w:val="footer"/>
    <w:basedOn w:val="Normal"/>
    <w:link w:val="RodapChar"/>
    <w:uiPriority w:val="99"/>
    <w:rsid w:val="00484C5E"/>
    <w:pPr>
      <w:tabs>
        <w:tab w:val="center" w:pos="4419"/>
        <w:tab w:val="right" w:pos="8838"/>
      </w:tabs>
    </w:pPr>
  </w:style>
  <w:style w:type="paragraph" w:customStyle="1" w:styleId="Default">
    <w:name w:val="Default"/>
    <w:qFormat/>
    <w:rsid w:val="00484C5E"/>
    <w:rPr>
      <w:rFonts w:ascii="Times New Roman" w:eastAsia="Times New Roman" w:hAnsi="Times New Roman"/>
      <w:color w:val="000000"/>
      <w:sz w:val="24"/>
      <w:szCs w:val="24"/>
    </w:rPr>
  </w:style>
  <w:style w:type="paragraph" w:styleId="Textodebalo">
    <w:name w:val="Balloon Text"/>
    <w:basedOn w:val="Normal"/>
    <w:link w:val="TextodebaloChar"/>
    <w:uiPriority w:val="99"/>
    <w:semiHidden/>
    <w:unhideWhenUsed/>
    <w:qFormat/>
    <w:rsid w:val="00441D7C"/>
    <w:rPr>
      <w:rFonts w:ascii="Segoe UI" w:hAnsi="Segoe UI" w:cs="Segoe UI"/>
      <w:sz w:val="18"/>
      <w:szCs w:val="18"/>
    </w:rPr>
  </w:style>
  <w:style w:type="paragraph" w:styleId="PargrafodaLista">
    <w:name w:val="List Paragraph"/>
    <w:basedOn w:val="Normal"/>
    <w:uiPriority w:val="34"/>
    <w:qFormat/>
    <w:rsid w:val="00D6301D"/>
    <w:pPr>
      <w:ind w:left="720"/>
      <w:contextualSpacing/>
    </w:pPr>
  </w:style>
  <w:style w:type="paragraph" w:customStyle="1" w:styleId="Rodap1">
    <w:name w:val="Rodapé1"/>
    <w:basedOn w:val="Normal"/>
    <w:uiPriority w:val="99"/>
    <w:qFormat/>
    <w:rsid w:val="00174BCB"/>
    <w:pPr>
      <w:tabs>
        <w:tab w:val="center" w:pos="4419"/>
        <w:tab w:val="right" w:pos="8838"/>
      </w:tabs>
    </w:pPr>
  </w:style>
  <w:style w:type="paragraph" w:styleId="SemEspaamento">
    <w:name w:val="No Spacing"/>
    <w:qFormat/>
    <w:rsid w:val="004E2536"/>
    <w:pPr>
      <w:spacing w:after="80"/>
    </w:pPr>
    <w:rPr>
      <w:rFonts w:ascii="Times New Roman" w:eastAsiaTheme="minorHAnsi" w:hAnsi="Times New Roman" w:cstheme="minorBidi"/>
      <w:sz w:val="24"/>
      <w:szCs w:val="22"/>
      <w:lang w:eastAsia="en-US"/>
    </w:rPr>
  </w:style>
  <w:style w:type="paragraph" w:styleId="NormalWeb">
    <w:name w:val="Normal (Web)"/>
    <w:basedOn w:val="Normal"/>
    <w:uiPriority w:val="99"/>
    <w:semiHidden/>
    <w:unhideWhenUsed/>
    <w:qFormat/>
    <w:rsid w:val="007424D6"/>
    <w:pPr>
      <w:suppressAutoHyphens w:val="0"/>
      <w:spacing w:beforeAutospacing="1" w:afterAutospacing="1"/>
    </w:pPr>
    <w:rPr>
      <w:szCs w:val="24"/>
    </w:rPr>
  </w:style>
  <w:style w:type="paragraph" w:customStyle="1" w:styleId="Standard">
    <w:name w:val="Standard"/>
    <w:qFormat/>
    <w:rsid w:val="001D4431"/>
    <w:pPr>
      <w:suppressAutoHyphens/>
      <w:textAlignment w:val="baseline"/>
    </w:pPr>
    <w:rPr>
      <w:rFonts w:ascii="Liberation Serif" w:eastAsia="Noto Sans CJK SC Regular" w:hAnsi="Liberation Serif" w:cs="FreeSans"/>
      <w:kern w:val="2"/>
      <w:sz w:val="24"/>
      <w:szCs w:val="24"/>
      <w:lang w:eastAsia="zh-CN" w:bidi="hi-IN"/>
    </w:rPr>
  </w:style>
  <w:style w:type="paragraph" w:styleId="Textodenotaderodap">
    <w:name w:val="footnote text"/>
    <w:basedOn w:val="Normal"/>
    <w:link w:val="TextodenotaderodapChar"/>
    <w:uiPriority w:val="99"/>
    <w:semiHidden/>
    <w:unhideWhenUsed/>
    <w:rsid w:val="001D4431"/>
    <w:pPr>
      <w:textAlignment w:val="baseline"/>
    </w:pPr>
    <w:rPr>
      <w:rFonts w:ascii="Liberation Serif" w:eastAsia="Noto Sans CJK SC Regular" w:hAnsi="Liberation Serif" w:cs="Mangal"/>
      <w:kern w:val="2"/>
      <w:sz w:val="20"/>
      <w:szCs w:val="18"/>
      <w:lang w:eastAsia="zh-CN" w:bidi="hi-IN"/>
    </w:rPr>
  </w:style>
  <w:style w:type="character" w:styleId="Refdenotaderodap">
    <w:name w:val="footnote reference"/>
    <w:basedOn w:val="Fontepargpadro"/>
    <w:uiPriority w:val="99"/>
    <w:semiHidden/>
    <w:unhideWhenUsed/>
    <w:rsid w:val="00CA17EF"/>
    <w:rPr>
      <w:vertAlign w:val="superscript"/>
    </w:rPr>
  </w:style>
  <w:style w:type="character" w:styleId="Hyperlink">
    <w:name w:val="Hyperlink"/>
    <w:basedOn w:val="Fontepargpadro"/>
    <w:uiPriority w:val="99"/>
    <w:unhideWhenUsed/>
    <w:rsid w:val="00CA17EF"/>
    <w:rPr>
      <w:color w:val="0563C1" w:themeColor="hyperlink"/>
      <w:u w:val="single"/>
    </w:rPr>
  </w:style>
  <w:style w:type="numbering" w:customStyle="1" w:styleId="WWNum4">
    <w:name w:val="WWNum4"/>
    <w:basedOn w:val="Semlista"/>
    <w:rsid w:val="006840A5"/>
    <w:pPr>
      <w:numPr>
        <w:numId w:val="2"/>
      </w:numPr>
    </w:pPr>
  </w:style>
  <w:style w:type="table" w:styleId="Tabelacomgrade">
    <w:name w:val="Table Grid"/>
    <w:basedOn w:val="Tabelanormal"/>
    <w:uiPriority w:val="59"/>
    <w:rsid w:val="006841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133A1C"/>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5">
    <w:name w:val="Light Shading Accent 5"/>
    <w:basedOn w:val="Tabelanormal"/>
    <w:uiPriority w:val="60"/>
    <w:rsid w:val="00133A1C"/>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5E"/>
    <w:pPr>
      <w:suppressAutoHyphens/>
    </w:pPr>
    <w:rPr>
      <w:rFonts w:ascii="Times New Roman" w:eastAsia="Times New Roman" w:hAnsi="Times New Roman"/>
      <w:sz w:val="24"/>
    </w:rPr>
  </w:style>
  <w:style w:type="paragraph" w:styleId="Ttulo2">
    <w:name w:val="heading 2"/>
    <w:basedOn w:val="Normal"/>
    <w:next w:val="Normal"/>
    <w:link w:val="Ttulo2Char"/>
    <w:qFormat/>
    <w:rsid w:val="00484C5E"/>
    <w:pPr>
      <w:keepNext/>
      <w:numPr>
        <w:ilvl w:val="1"/>
        <w:numId w:val="1"/>
      </w:numPr>
      <w:tabs>
        <w:tab w:val="left" w:pos="960"/>
        <w:tab w:val="left" w:pos="1134"/>
        <w:tab w:val="left" w:pos="2880"/>
        <w:tab w:val="left" w:pos="3840"/>
        <w:tab w:val="left" w:pos="4800"/>
        <w:tab w:val="left" w:pos="5760"/>
        <w:tab w:val="left" w:pos="6720"/>
      </w:tabs>
      <w:ind w:firstLine="1418"/>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qFormat/>
    <w:rsid w:val="00484C5E"/>
    <w:rPr>
      <w:rFonts w:ascii="Times New Roman" w:eastAsia="Times New Roman" w:hAnsi="Times New Roman" w:cs="Times New Roman"/>
      <w:sz w:val="24"/>
      <w:szCs w:val="20"/>
      <w:lang w:eastAsia="pt-BR"/>
    </w:rPr>
  </w:style>
  <w:style w:type="character" w:customStyle="1" w:styleId="CabealhoChar">
    <w:name w:val="Cabeçalho Char"/>
    <w:link w:val="Cabealho"/>
    <w:qFormat/>
    <w:rsid w:val="00484C5E"/>
    <w:rPr>
      <w:rFonts w:ascii="Times New Roman" w:eastAsia="Times New Roman" w:hAnsi="Times New Roman" w:cs="Times New Roman"/>
      <w:sz w:val="24"/>
      <w:szCs w:val="20"/>
      <w:lang w:eastAsia="pt-BR"/>
    </w:rPr>
  </w:style>
  <w:style w:type="character" w:customStyle="1" w:styleId="RodapChar">
    <w:name w:val="Rodapé Char"/>
    <w:link w:val="Rodap"/>
    <w:uiPriority w:val="99"/>
    <w:qFormat/>
    <w:rsid w:val="00484C5E"/>
    <w:rPr>
      <w:rFonts w:ascii="Times New Roman" w:eastAsia="Times New Roman" w:hAnsi="Times New Roman" w:cs="Times New Roman"/>
      <w:sz w:val="24"/>
      <w:szCs w:val="20"/>
      <w:lang w:eastAsia="pt-BR"/>
    </w:rPr>
  </w:style>
  <w:style w:type="character" w:styleId="Nmerodepgina">
    <w:name w:val="page number"/>
    <w:basedOn w:val="Fontepargpadro"/>
    <w:qFormat/>
    <w:rsid w:val="00674E06"/>
  </w:style>
  <w:style w:type="character" w:styleId="Forte">
    <w:name w:val="Strong"/>
    <w:uiPriority w:val="22"/>
    <w:qFormat/>
    <w:rsid w:val="00AB2D65"/>
    <w:rPr>
      <w:b/>
      <w:bCs/>
    </w:rPr>
  </w:style>
  <w:style w:type="character" w:customStyle="1" w:styleId="apple-style-span">
    <w:name w:val="apple-style-span"/>
    <w:basedOn w:val="Fontepargpadro"/>
    <w:qFormat/>
    <w:rsid w:val="00AB2D65"/>
  </w:style>
  <w:style w:type="character" w:styleId="nfase">
    <w:name w:val="Emphasis"/>
    <w:qFormat/>
    <w:rsid w:val="00AB2D65"/>
    <w:rPr>
      <w:i/>
      <w:iCs/>
    </w:rPr>
  </w:style>
  <w:style w:type="character" w:customStyle="1" w:styleId="TextodebaloChar">
    <w:name w:val="Texto de balão Char"/>
    <w:link w:val="Textodebalo"/>
    <w:uiPriority w:val="99"/>
    <w:semiHidden/>
    <w:qFormat/>
    <w:rsid w:val="00441D7C"/>
    <w:rPr>
      <w:rFonts w:ascii="Segoe UI" w:eastAsia="Times New Roman" w:hAnsi="Segoe UI" w:cs="Segoe UI"/>
      <w:sz w:val="18"/>
      <w:szCs w:val="18"/>
    </w:rPr>
  </w:style>
  <w:style w:type="character" w:customStyle="1" w:styleId="LinkdaInternet">
    <w:name w:val="Link da Internet"/>
    <w:uiPriority w:val="99"/>
    <w:unhideWhenUsed/>
    <w:rsid w:val="00174BCB"/>
    <w:rPr>
      <w:color w:val="0563C1"/>
      <w:u w:val="single"/>
    </w:rPr>
  </w:style>
  <w:style w:type="character" w:customStyle="1" w:styleId="UnresolvedMention">
    <w:name w:val="Unresolved Mention"/>
    <w:uiPriority w:val="99"/>
    <w:semiHidden/>
    <w:unhideWhenUsed/>
    <w:qFormat/>
    <w:rsid w:val="00A27B78"/>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1D4431"/>
    <w:rPr>
      <w:rFonts w:ascii="Liberation Serif" w:eastAsia="Noto Sans CJK SC Regular" w:hAnsi="Liberation Serif" w:cs="Mangal"/>
      <w:kern w:val="2"/>
      <w:szCs w:val="18"/>
      <w:lang w:eastAsia="zh-CN" w:bidi="hi-IN"/>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1D4431"/>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rsid w:val="00484C5E"/>
    <w:pPr>
      <w:tabs>
        <w:tab w:val="center" w:pos="4419"/>
        <w:tab w:val="right" w:pos="8838"/>
      </w:tabs>
    </w:pPr>
  </w:style>
  <w:style w:type="paragraph" w:styleId="Rodap">
    <w:name w:val="footer"/>
    <w:basedOn w:val="Normal"/>
    <w:link w:val="RodapChar"/>
    <w:uiPriority w:val="99"/>
    <w:rsid w:val="00484C5E"/>
    <w:pPr>
      <w:tabs>
        <w:tab w:val="center" w:pos="4419"/>
        <w:tab w:val="right" w:pos="8838"/>
      </w:tabs>
    </w:pPr>
  </w:style>
  <w:style w:type="paragraph" w:customStyle="1" w:styleId="Default">
    <w:name w:val="Default"/>
    <w:qFormat/>
    <w:rsid w:val="00484C5E"/>
    <w:rPr>
      <w:rFonts w:ascii="Times New Roman" w:eastAsia="Times New Roman" w:hAnsi="Times New Roman"/>
      <w:color w:val="000000"/>
      <w:sz w:val="24"/>
      <w:szCs w:val="24"/>
    </w:rPr>
  </w:style>
  <w:style w:type="paragraph" w:styleId="Textodebalo">
    <w:name w:val="Balloon Text"/>
    <w:basedOn w:val="Normal"/>
    <w:link w:val="TextodebaloChar"/>
    <w:uiPriority w:val="99"/>
    <w:semiHidden/>
    <w:unhideWhenUsed/>
    <w:qFormat/>
    <w:rsid w:val="00441D7C"/>
    <w:rPr>
      <w:rFonts w:ascii="Segoe UI" w:hAnsi="Segoe UI" w:cs="Segoe UI"/>
      <w:sz w:val="18"/>
      <w:szCs w:val="18"/>
    </w:rPr>
  </w:style>
  <w:style w:type="paragraph" w:styleId="PargrafodaLista">
    <w:name w:val="List Paragraph"/>
    <w:basedOn w:val="Normal"/>
    <w:uiPriority w:val="34"/>
    <w:qFormat/>
    <w:rsid w:val="00D6301D"/>
    <w:pPr>
      <w:ind w:left="720"/>
      <w:contextualSpacing/>
    </w:pPr>
  </w:style>
  <w:style w:type="paragraph" w:customStyle="1" w:styleId="Rodap1">
    <w:name w:val="Rodapé1"/>
    <w:basedOn w:val="Normal"/>
    <w:uiPriority w:val="99"/>
    <w:qFormat/>
    <w:rsid w:val="00174BCB"/>
    <w:pPr>
      <w:tabs>
        <w:tab w:val="center" w:pos="4419"/>
        <w:tab w:val="right" w:pos="8838"/>
      </w:tabs>
    </w:pPr>
  </w:style>
  <w:style w:type="paragraph" w:styleId="SemEspaamento">
    <w:name w:val="No Spacing"/>
    <w:qFormat/>
    <w:rsid w:val="004E2536"/>
    <w:pPr>
      <w:spacing w:after="80"/>
    </w:pPr>
    <w:rPr>
      <w:rFonts w:ascii="Times New Roman" w:eastAsiaTheme="minorHAnsi" w:hAnsi="Times New Roman" w:cstheme="minorBidi"/>
      <w:sz w:val="24"/>
      <w:szCs w:val="22"/>
      <w:lang w:eastAsia="en-US"/>
    </w:rPr>
  </w:style>
  <w:style w:type="paragraph" w:styleId="NormalWeb">
    <w:name w:val="Normal (Web)"/>
    <w:basedOn w:val="Normal"/>
    <w:uiPriority w:val="99"/>
    <w:semiHidden/>
    <w:unhideWhenUsed/>
    <w:qFormat/>
    <w:rsid w:val="007424D6"/>
    <w:pPr>
      <w:suppressAutoHyphens w:val="0"/>
      <w:spacing w:beforeAutospacing="1" w:afterAutospacing="1"/>
    </w:pPr>
    <w:rPr>
      <w:szCs w:val="24"/>
    </w:rPr>
  </w:style>
  <w:style w:type="paragraph" w:customStyle="1" w:styleId="Standard">
    <w:name w:val="Standard"/>
    <w:qFormat/>
    <w:rsid w:val="001D4431"/>
    <w:pPr>
      <w:suppressAutoHyphens/>
      <w:textAlignment w:val="baseline"/>
    </w:pPr>
    <w:rPr>
      <w:rFonts w:ascii="Liberation Serif" w:eastAsia="Noto Sans CJK SC Regular" w:hAnsi="Liberation Serif" w:cs="FreeSans"/>
      <w:kern w:val="2"/>
      <w:sz w:val="24"/>
      <w:szCs w:val="24"/>
      <w:lang w:eastAsia="zh-CN" w:bidi="hi-IN"/>
    </w:rPr>
  </w:style>
  <w:style w:type="paragraph" w:styleId="Textodenotaderodap">
    <w:name w:val="footnote text"/>
    <w:basedOn w:val="Normal"/>
    <w:link w:val="TextodenotaderodapChar"/>
    <w:uiPriority w:val="99"/>
    <w:semiHidden/>
    <w:unhideWhenUsed/>
    <w:rsid w:val="001D4431"/>
    <w:pPr>
      <w:textAlignment w:val="baseline"/>
    </w:pPr>
    <w:rPr>
      <w:rFonts w:ascii="Liberation Serif" w:eastAsia="Noto Sans CJK SC Regular" w:hAnsi="Liberation Serif" w:cs="Mangal"/>
      <w:kern w:val="2"/>
      <w:sz w:val="20"/>
      <w:szCs w:val="18"/>
      <w:lang w:eastAsia="zh-CN" w:bidi="hi-IN"/>
    </w:rPr>
  </w:style>
  <w:style w:type="character" w:styleId="Refdenotaderodap">
    <w:name w:val="footnote reference"/>
    <w:basedOn w:val="Fontepargpadro"/>
    <w:uiPriority w:val="99"/>
    <w:semiHidden/>
    <w:unhideWhenUsed/>
    <w:rsid w:val="00CA17EF"/>
    <w:rPr>
      <w:vertAlign w:val="superscript"/>
    </w:rPr>
  </w:style>
  <w:style w:type="character" w:styleId="Hyperlink">
    <w:name w:val="Hyperlink"/>
    <w:basedOn w:val="Fontepargpadro"/>
    <w:uiPriority w:val="99"/>
    <w:unhideWhenUsed/>
    <w:rsid w:val="00CA17EF"/>
    <w:rPr>
      <w:color w:val="0563C1" w:themeColor="hyperlink"/>
      <w:u w:val="single"/>
    </w:rPr>
  </w:style>
  <w:style w:type="numbering" w:customStyle="1" w:styleId="WWNum4">
    <w:name w:val="WWNum4"/>
    <w:basedOn w:val="Semlista"/>
    <w:rsid w:val="006840A5"/>
    <w:pPr>
      <w:numPr>
        <w:numId w:val="2"/>
      </w:numPr>
    </w:pPr>
  </w:style>
  <w:style w:type="table" w:styleId="Tabelacomgrade">
    <w:name w:val="Table Grid"/>
    <w:basedOn w:val="Tabelanormal"/>
    <w:uiPriority w:val="59"/>
    <w:rsid w:val="006841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133A1C"/>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5">
    <w:name w:val="Light Shading Accent 5"/>
    <w:basedOn w:val="Tabelanormal"/>
    <w:uiPriority w:val="60"/>
    <w:rsid w:val="00133A1C"/>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511">
      <w:bodyDiv w:val="1"/>
      <w:marLeft w:val="0"/>
      <w:marRight w:val="0"/>
      <w:marTop w:val="0"/>
      <w:marBottom w:val="0"/>
      <w:divBdr>
        <w:top w:val="none" w:sz="0" w:space="0" w:color="auto"/>
        <w:left w:val="none" w:sz="0" w:space="0" w:color="auto"/>
        <w:bottom w:val="none" w:sz="0" w:space="0" w:color="auto"/>
        <w:right w:val="none" w:sz="0" w:space="0" w:color="auto"/>
      </w:divBdr>
    </w:div>
    <w:div w:id="818612267">
      <w:bodyDiv w:val="1"/>
      <w:marLeft w:val="0"/>
      <w:marRight w:val="0"/>
      <w:marTop w:val="0"/>
      <w:marBottom w:val="0"/>
      <w:divBdr>
        <w:top w:val="none" w:sz="0" w:space="0" w:color="auto"/>
        <w:left w:val="none" w:sz="0" w:space="0" w:color="auto"/>
        <w:bottom w:val="none" w:sz="0" w:space="0" w:color="auto"/>
        <w:right w:val="none" w:sz="0" w:space="0" w:color="auto"/>
      </w:divBdr>
    </w:div>
    <w:div w:id="893928765">
      <w:bodyDiv w:val="1"/>
      <w:marLeft w:val="0"/>
      <w:marRight w:val="0"/>
      <w:marTop w:val="0"/>
      <w:marBottom w:val="0"/>
      <w:divBdr>
        <w:top w:val="none" w:sz="0" w:space="0" w:color="auto"/>
        <w:left w:val="none" w:sz="0" w:space="0" w:color="auto"/>
        <w:bottom w:val="none" w:sz="0" w:space="0" w:color="auto"/>
        <w:right w:val="none" w:sz="0" w:space="0" w:color="auto"/>
      </w:divBdr>
    </w:div>
    <w:div w:id="901719227">
      <w:bodyDiv w:val="1"/>
      <w:marLeft w:val="0"/>
      <w:marRight w:val="0"/>
      <w:marTop w:val="0"/>
      <w:marBottom w:val="0"/>
      <w:divBdr>
        <w:top w:val="none" w:sz="0" w:space="0" w:color="auto"/>
        <w:left w:val="none" w:sz="0" w:space="0" w:color="auto"/>
        <w:bottom w:val="none" w:sz="0" w:space="0" w:color="auto"/>
        <w:right w:val="none" w:sz="0" w:space="0" w:color="auto"/>
      </w:divBdr>
    </w:div>
    <w:div w:id="143124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inova@contato.ufs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Plan1!$B$14</c:f>
              <c:strCache>
                <c:ptCount val="1"/>
                <c:pt idx="0">
                  <c:v>Contagem</c:v>
                </c:pt>
              </c:strCache>
            </c:strRef>
          </c:tx>
          <c:dLbls>
            <c:dLbl>
              <c:idx val="1"/>
              <c:layout/>
              <c:tx>
                <c:rich>
                  <a:bodyPr/>
                  <a:lstStyle/>
                  <a:p>
                    <a:r>
                      <a:rPr lang="en-US"/>
                      <a:t>23%</a:t>
                    </a:r>
                  </a:p>
                </c:rich>
              </c:tx>
              <c:showLegendKey val="0"/>
              <c:showVal val="0"/>
              <c:showCatName val="0"/>
              <c:showSerName val="0"/>
              <c:showPercent val="1"/>
              <c:showBubbleSize val="0"/>
            </c:dLbl>
            <c:dLbl>
              <c:idx val="2"/>
              <c:layout/>
              <c:tx>
                <c:rich>
                  <a:bodyPr/>
                  <a:lstStyle/>
                  <a:p>
                    <a:r>
                      <a:rPr lang="en-US"/>
                      <a:t>8%</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Plan1!$A$15:$A$22</c:f>
              <c:strCache>
                <c:ptCount val="8"/>
                <c:pt idx="0">
                  <c:v>Interno</c:v>
                </c:pt>
                <c:pt idx="1">
                  <c:v>Empreendedorismo e Startups/Spin-offs</c:v>
                </c:pt>
                <c:pt idx="2">
                  <c:v>Propriedade Intelectual</c:v>
                </c:pt>
                <c:pt idx="3">
                  <c:v>Transferência de Tecnologia</c:v>
                </c:pt>
                <c:pt idx="4">
                  <c:v>Outros</c:v>
                </c:pt>
                <c:pt idx="5">
                  <c:v>Orientação Técnica de Instrumentos Jurídicos</c:v>
                </c:pt>
                <c:pt idx="6">
                  <c:v>Projetos Específicos em Execução</c:v>
                </c:pt>
                <c:pt idx="7">
                  <c:v>Desenvolvimento de Parcerias e Novos Projetos</c:v>
                </c:pt>
              </c:strCache>
            </c:strRef>
          </c:cat>
          <c:val>
            <c:numRef>
              <c:f>Plan1!$B$15:$B$22</c:f>
              <c:numCache>
                <c:formatCode>General</c:formatCode>
                <c:ptCount val="8"/>
                <c:pt idx="0">
                  <c:v>276</c:v>
                </c:pt>
                <c:pt idx="1">
                  <c:v>119</c:v>
                </c:pt>
                <c:pt idx="2">
                  <c:v>38</c:v>
                </c:pt>
                <c:pt idx="3">
                  <c:v>22</c:v>
                </c:pt>
                <c:pt idx="4">
                  <c:v>14</c:v>
                </c:pt>
                <c:pt idx="5">
                  <c:v>13</c:v>
                </c:pt>
                <c:pt idx="6">
                  <c:v>11</c:v>
                </c:pt>
                <c:pt idx="7">
                  <c:v>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2026908945106454"/>
          <c:y val="3.0104257801108199E-2"/>
          <c:w val="0.4623905507917333"/>
          <c:h val="0.9698955044373014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Plan1!$A$2</c:f>
              <c:strCache>
                <c:ptCount val="1"/>
                <c:pt idx="0">
                  <c:v>Patentes/MU*</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Plan1!$B$1:$F$1</c:f>
              <c:strCache>
                <c:ptCount val="5"/>
                <c:pt idx="0">
                  <c:v>2017</c:v>
                </c:pt>
                <c:pt idx="1">
                  <c:v>2018</c:v>
                </c:pt>
                <c:pt idx="2">
                  <c:v>2019</c:v>
                </c:pt>
                <c:pt idx="3">
                  <c:v>2020</c:v>
                </c:pt>
                <c:pt idx="4">
                  <c:v>2021</c:v>
                </c:pt>
              </c:strCache>
            </c:strRef>
          </c:cat>
          <c:val>
            <c:numRef>
              <c:f>Plan1!$B$2:$F$2</c:f>
              <c:numCache>
                <c:formatCode>General</c:formatCode>
                <c:ptCount val="5"/>
                <c:pt idx="0">
                  <c:v>14</c:v>
                </c:pt>
                <c:pt idx="1">
                  <c:v>14</c:v>
                </c:pt>
                <c:pt idx="2">
                  <c:v>31</c:v>
                </c:pt>
                <c:pt idx="3">
                  <c:v>21</c:v>
                </c:pt>
                <c:pt idx="4">
                  <c:v>37</c:v>
                </c:pt>
              </c:numCache>
            </c:numRef>
          </c:val>
          <c:extLst xmlns:c16r2="http://schemas.microsoft.com/office/drawing/2015/06/chart">
            <c:ext xmlns:c16="http://schemas.microsoft.com/office/drawing/2014/chart" uri="{C3380CC4-5D6E-409C-BE32-E72D297353CC}">
              <c16:uniqueId val="{00000000-F0F4-4AF0-A493-E92FCFB29C95}"/>
            </c:ext>
          </c:extLst>
        </c:ser>
        <c:ser>
          <c:idx val="1"/>
          <c:order val="1"/>
          <c:tx>
            <c:strRef>
              <c:f>Plan1!$A$3</c:f>
              <c:strCache>
                <c:ptCount val="1"/>
                <c:pt idx="0">
                  <c:v>RPC</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Plan1!$B$1:$F$1</c:f>
              <c:strCache>
                <c:ptCount val="5"/>
                <c:pt idx="0">
                  <c:v>2017</c:v>
                </c:pt>
                <c:pt idx="1">
                  <c:v>2018</c:v>
                </c:pt>
                <c:pt idx="2">
                  <c:v>2019</c:v>
                </c:pt>
                <c:pt idx="3">
                  <c:v>2020</c:v>
                </c:pt>
                <c:pt idx="4">
                  <c:v>2021</c:v>
                </c:pt>
              </c:strCache>
            </c:strRef>
          </c:cat>
          <c:val>
            <c:numRef>
              <c:f>Plan1!$B$3:$F$3</c:f>
              <c:numCache>
                <c:formatCode>General</c:formatCode>
                <c:ptCount val="5"/>
                <c:pt idx="0">
                  <c:v>9</c:v>
                </c:pt>
                <c:pt idx="1">
                  <c:v>19</c:v>
                </c:pt>
                <c:pt idx="2">
                  <c:v>9</c:v>
                </c:pt>
                <c:pt idx="3">
                  <c:v>29</c:v>
                </c:pt>
                <c:pt idx="4">
                  <c:v>27</c:v>
                </c:pt>
              </c:numCache>
            </c:numRef>
          </c:val>
          <c:extLst xmlns:c16r2="http://schemas.microsoft.com/office/drawing/2015/06/chart">
            <c:ext xmlns:c16="http://schemas.microsoft.com/office/drawing/2014/chart" uri="{C3380CC4-5D6E-409C-BE32-E72D297353CC}">
              <c16:uniqueId val="{00000001-F0F4-4AF0-A493-E92FCFB29C95}"/>
            </c:ext>
          </c:extLst>
        </c:ser>
        <c:ser>
          <c:idx val="2"/>
          <c:order val="2"/>
          <c:tx>
            <c:strRef>
              <c:f>Plan1!$A$4</c:f>
              <c:strCache>
                <c:ptCount val="1"/>
                <c:pt idx="0">
                  <c:v>Marcas</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Plan1!$B$1:$F$1</c:f>
              <c:strCache>
                <c:ptCount val="5"/>
                <c:pt idx="0">
                  <c:v>2017</c:v>
                </c:pt>
                <c:pt idx="1">
                  <c:v>2018</c:v>
                </c:pt>
                <c:pt idx="2">
                  <c:v>2019</c:v>
                </c:pt>
                <c:pt idx="3">
                  <c:v>2020</c:v>
                </c:pt>
                <c:pt idx="4">
                  <c:v>2021</c:v>
                </c:pt>
              </c:strCache>
            </c:strRef>
          </c:cat>
          <c:val>
            <c:numRef>
              <c:f>Plan1!$B$4:$F$4</c:f>
              <c:numCache>
                <c:formatCode>General</c:formatCode>
                <c:ptCount val="5"/>
                <c:pt idx="0">
                  <c:v>4</c:v>
                </c:pt>
                <c:pt idx="1">
                  <c:v>5</c:v>
                </c:pt>
                <c:pt idx="2">
                  <c:v>5</c:v>
                </c:pt>
                <c:pt idx="3">
                  <c:v>1</c:v>
                </c:pt>
                <c:pt idx="4">
                  <c:v>1</c:v>
                </c:pt>
              </c:numCache>
            </c:numRef>
          </c:val>
          <c:extLst xmlns:c16r2="http://schemas.microsoft.com/office/drawing/2015/06/chart">
            <c:ext xmlns:c16="http://schemas.microsoft.com/office/drawing/2014/chart" uri="{C3380CC4-5D6E-409C-BE32-E72D297353CC}">
              <c16:uniqueId val="{00000002-F0F4-4AF0-A493-E92FCFB29C95}"/>
            </c:ext>
          </c:extLst>
        </c:ser>
        <c:ser>
          <c:idx val="3"/>
          <c:order val="3"/>
          <c:tx>
            <c:strRef>
              <c:f>Plan1!$A$5</c:f>
              <c:strCache>
                <c:ptCount val="1"/>
                <c:pt idx="0">
                  <c:v>DI</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Plan1!$B$1:$F$1</c:f>
              <c:strCache>
                <c:ptCount val="5"/>
                <c:pt idx="0">
                  <c:v>2017</c:v>
                </c:pt>
                <c:pt idx="1">
                  <c:v>2018</c:v>
                </c:pt>
                <c:pt idx="2">
                  <c:v>2019</c:v>
                </c:pt>
                <c:pt idx="3">
                  <c:v>2020</c:v>
                </c:pt>
                <c:pt idx="4">
                  <c:v>2021</c:v>
                </c:pt>
              </c:strCache>
            </c:strRef>
          </c:cat>
          <c:val>
            <c:numRef>
              <c:f>Plan1!$B$5:$F$5</c:f>
              <c:numCache>
                <c:formatCode>General</c:formatCode>
                <c:ptCount val="5"/>
                <c:pt idx="0">
                  <c:v>0</c:v>
                </c:pt>
                <c:pt idx="1">
                  <c:v>0</c:v>
                </c:pt>
                <c:pt idx="2">
                  <c:v>3</c:v>
                </c:pt>
                <c:pt idx="3">
                  <c:v>3</c:v>
                </c:pt>
                <c:pt idx="4">
                  <c:v>11</c:v>
                </c:pt>
              </c:numCache>
            </c:numRef>
          </c:val>
          <c:extLst xmlns:c16r2="http://schemas.microsoft.com/office/drawing/2015/06/chart">
            <c:ext xmlns:c16="http://schemas.microsoft.com/office/drawing/2014/chart" uri="{C3380CC4-5D6E-409C-BE32-E72D297353CC}">
              <c16:uniqueId val="{00000003-F0F4-4AF0-A493-E92FCFB29C95}"/>
            </c:ext>
          </c:extLst>
        </c:ser>
        <c:ser>
          <c:idx val="4"/>
          <c:order val="4"/>
          <c:tx>
            <c:strRef>
              <c:f>Plan1!$A$6</c:f>
              <c:strCache>
                <c:ptCount val="1"/>
                <c:pt idx="0">
                  <c:v>Total</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Plan1!$B$1:$F$1</c:f>
              <c:strCache>
                <c:ptCount val="5"/>
                <c:pt idx="0">
                  <c:v>2017</c:v>
                </c:pt>
                <c:pt idx="1">
                  <c:v>2018</c:v>
                </c:pt>
                <c:pt idx="2">
                  <c:v>2019</c:v>
                </c:pt>
                <c:pt idx="3">
                  <c:v>2020</c:v>
                </c:pt>
                <c:pt idx="4">
                  <c:v>2021</c:v>
                </c:pt>
              </c:strCache>
            </c:strRef>
          </c:cat>
          <c:val>
            <c:numRef>
              <c:f>Plan1!$B$6:$F$6</c:f>
              <c:numCache>
                <c:formatCode>General</c:formatCode>
                <c:ptCount val="5"/>
                <c:pt idx="0">
                  <c:v>27</c:v>
                </c:pt>
                <c:pt idx="1">
                  <c:v>38</c:v>
                </c:pt>
                <c:pt idx="2">
                  <c:v>48</c:v>
                </c:pt>
                <c:pt idx="3">
                  <c:v>54</c:v>
                </c:pt>
                <c:pt idx="4">
                  <c:v>76</c:v>
                </c:pt>
              </c:numCache>
            </c:numRef>
          </c:val>
          <c:extLst xmlns:c16r2="http://schemas.microsoft.com/office/drawing/2015/06/chart">
            <c:ext xmlns:c16="http://schemas.microsoft.com/office/drawing/2014/chart" uri="{C3380CC4-5D6E-409C-BE32-E72D297353CC}">
              <c16:uniqueId val="{00000004-F0F4-4AF0-A493-E92FCFB29C95}"/>
            </c:ext>
          </c:extLst>
        </c:ser>
        <c:dLbls>
          <c:dLblPos val="outEnd"/>
          <c:showLegendKey val="0"/>
          <c:showVal val="1"/>
          <c:showCatName val="0"/>
          <c:showSerName val="0"/>
          <c:showPercent val="0"/>
          <c:showBubbleSize val="0"/>
        </c:dLbls>
        <c:gapWidth val="75"/>
        <c:overlap val="-25"/>
        <c:axId val="201737216"/>
        <c:axId val="216303872"/>
      </c:barChart>
      <c:catAx>
        <c:axId val="201737216"/>
        <c:scaling>
          <c:orientation val="minMax"/>
        </c:scaling>
        <c:delete val="0"/>
        <c:axPos val="b"/>
        <c:numFmt formatCode="General" sourceLinked="0"/>
        <c:majorTickMark val="none"/>
        <c:minorTickMark val="none"/>
        <c:tickLblPos val="nextTo"/>
        <c:crossAx val="216303872"/>
        <c:crosses val="autoZero"/>
        <c:auto val="1"/>
        <c:lblAlgn val="ctr"/>
        <c:lblOffset val="100"/>
        <c:noMultiLvlLbl val="0"/>
      </c:catAx>
      <c:valAx>
        <c:axId val="216303872"/>
        <c:scaling>
          <c:orientation val="minMax"/>
        </c:scaling>
        <c:delete val="0"/>
        <c:axPos val="l"/>
        <c:majorGridlines>
          <c:spPr>
            <a:ln>
              <a:noFill/>
            </a:ln>
          </c:spPr>
        </c:majorGridlines>
        <c:numFmt formatCode="General" sourceLinked="1"/>
        <c:majorTickMark val="none"/>
        <c:minorTickMark val="none"/>
        <c:tickLblPos val="nextTo"/>
        <c:spPr>
          <a:ln w="6350">
            <a:noFill/>
          </a:ln>
        </c:spPr>
        <c:crossAx val="2017372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CCB7-C47C-4967-983C-34B757E9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1415</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Zulma</dc:creator>
  <cp:lastModifiedBy>KAMILA VIEIRA DA SILVA</cp:lastModifiedBy>
  <cp:revision>32</cp:revision>
  <cp:lastPrinted>2013-05-31T00:07:00Z</cp:lastPrinted>
  <dcterms:created xsi:type="dcterms:W3CDTF">2021-12-27T12:43:00Z</dcterms:created>
  <dcterms:modified xsi:type="dcterms:W3CDTF">2022-01-14T14:11:00Z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